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214" w:tblpY="964"/>
        <w:tblW w:w="9923" w:type="dxa"/>
        <w:tblLayout w:type="fixed"/>
        <w:tblCellMar>
          <w:left w:w="70" w:type="dxa"/>
          <w:right w:w="70" w:type="dxa"/>
        </w:tblCellMar>
        <w:tblLook w:val="04A0" w:firstRow="1" w:lastRow="0" w:firstColumn="1" w:lastColumn="0" w:noHBand="0" w:noVBand="1"/>
      </w:tblPr>
      <w:tblGrid>
        <w:gridCol w:w="2626"/>
        <w:gridCol w:w="3681"/>
        <w:gridCol w:w="3616"/>
      </w:tblGrid>
      <w:tr w:rsidR="008337B4" w:rsidRPr="00084639" w14:paraId="6D79BE4A" w14:textId="77777777" w:rsidTr="00496A19">
        <w:trPr>
          <w:trHeight w:val="558"/>
        </w:trPr>
        <w:tc>
          <w:tcPr>
            <w:tcW w:w="2626" w:type="dxa"/>
            <w:tcBorders>
              <w:top w:val="single" w:sz="4" w:space="0" w:color="auto"/>
              <w:left w:val="single" w:sz="4" w:space="0" w:color="auto"/>
              <w:bottom w:val="single" w:sz="4" w:space="0" w:color="auto"/>
              <w:right w:val="single" w:sz="4" w:space="0" w:color="auto"/>
            </w:tcBorders>
            <w:shd w:val="clear" w:color="auto" w:fill="FFC000"/>
            <w:vAlign w:val="center"/>
          </w:tcPr>
          <w:p w14:paraId="022C530B" w14:textId="77777777" w:rsidR="008337B4" w:rsidRPr="00764A74" w:rsidRDefault="008337B4" w:rsidP="005F46FE">
            <w:pPr>
              <w:spacing w:after="0" w:line="240" w:lineRule="auto"/>
              <w:rPr>
                <w:rFonts w:ascii="Verdana" w:eastAsia="Times New Roman" w:hAnsi="Verdana" w:cs="Times New Roman"/>
                <w:b/>
                <w:bCs/>
                <w:color w:val="1F497D" w:themeColor="text2"/>
                <w:sz w:val="14"/>
                <w:szCs w:val="14"/>
                <w:lang w:eastAsia="pl-PL"/>
              </w:rPr>
            </w:pPr>
            <w:r>
              <w:rPr>
                <w:rFonts w:ascii="Verdana" w:eastAsia="Times New Roman" w:hAnsi="Verdana" w:cs="Times New Roman"/>
                <w:b/>
                <w:bCs/>
                <w:color w:val="1F497D" w:themeColor="text2"/>
                <w:sz w:val="14"/>
                <w:szCs w:val="14"/>
                <w:lang w:eastAsia="pl-PL"/>
              </w:rPr>
              <w:t>Nazwa własna</w:t>
            </w:r>
          </w:p>
        </w:tc>
        <w:tc>
          <w:tcPr>
            <w:tcW w:w="7297" w:type="dxa"/>
            <w:gridSpan w:val="2"/>
            <w:tcBorders>
              <w:top w:val="single" w:sz="4" w:space="0" w:color="auto"/>
              <w:left w:val="nil"/>
              <w:bottom w:val="single" w:sz="4" w:space="0" w:color="auto"/>
              <w:right w:val="single" w:sz="4" w:space="0" w:color="auto"/>
            </w:tcBorders>
            <w:shd w:val="clear" w:color="auto" w:fill="FFC000"/>
            <w:vAlign w:val="center"/>
          </w:tcPr>
          <w:p w14:paraId="797A8CD5" w14:textId="6CE3DE5C" w:rsidR="008337B4" w:rsidRDefault="008337B4" w:rsidP="00996206">
            <w:pPr>
              <w:spacing w:after="0" w:line="240" w:lineRule="auto"/>
              <w:jc w:val="center"/>
              <w:rPr>
                <w:rFonts w:ascii="Verdana" w:eastAsia="Times New Roman" w:hAnsi="Verdana" w:cs="Times New Roman"/>
                <w:b/>
                <w:bCs/>
                <w:sz w:val="16"/>
                <w:szCs w:val="16"/>
                <w:lang w:eastAsia="pl-PL"/>
              </w:rPr>
            </w:pPr>
            <w:r>
              <w:rPr>
                <w:rFonts w:ascii="Verdana" w:eastAsia="Times New Roman" w:hAnsi="Verdana" w:cs="Times New Roman"/>
                <w:b/>
                <w:bCs/>
                <w:sz w:val="16"/>
                <w:szCs w:val="16"/>
                <w:lang w:eastAsia="pl-PL"/>
              </w:rPr>
              <w:t>M</w:t>
            </w:r>
            <w:r w:rsidRPr="0063709B">
              <w:rPr>
                <w:rFonts w:ascii="Verdana" w:eastAsia="Times New Roman" w:hAnsi="Verdana" w:cs="Times New Roman"/>
                <w:b/>
                <w:bCs/>
                <w:sz w:val="16"/>
                <w:szCs w:val="16"/>
                <w:lang w:eastAsia="pl-PL"/>
              </w:rPr>
              <w:t>AŁA POŻYCZKA</w:t>
            </w:r>
            <w:r>
              <w:rPr>
                <w:rFonts w:ascii="Verdana" w:eastAsia="Times New Roman" w:hAnsi="Verdana" w:cs="Times New Roman"/>
                <w:b/>
                <w:bCs/>
                <w:sz w:val="16"/>
                <w:szCs w:val="16"/>
                <w:lang w:eastAsia="pl-PL"/>
              </w:rPr>
              <w:t xml:space="preserve"> INWESTYCYJNA</w:t>
            </w:r>
          </w:p>
        </w:tc>
      </w:tr>
      <w:tr w:rsidR="007E73D2" w:rsidRPr="00084639" w14:paraId="3EC68CBF" w14:textId="77777777" w:rsidTr="008337B4">
        <w:trPr>
          <w:trHeight w:val="425"/>
        </w:trPr>
        <w:tc>
          <w:tcPr>
            <w:tcW w:w="26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28617D6" w14:textId="77777777" w:rsidR="007E73D2" w:rsidRPr="00084639" w:rsidRDefault="007E73D2" w:rsidP="005F46FE">
            <w:pPr>
              <w:spacing w:after="0" w:line="240" w:lineRule="auto"/>
              <w:rPr>
                <w:rFonts w:ascii="Verdana" w:eastAsia="Times New Roman" w:hAnsi="Verdana" w:cs="Times New Roman"/>
                <w:b/>
                <w:bCs/>
                <w:sz w:val="14"/>
                <w:szCs w:val="14"/>
                <w:lang w:eastAsia="pl-PL"/>
              </w:rPr>
            </w:pPr>
            <w:r w:rsidRPr="00764A74">
              <w:rPr>
                <w:rFonts w:ascii="Verdana" w:eastAsia="Times New Roman" w:hAnsi="Verdana" w:cs="Times New Roman"/>
                <w:b/>
                <w:bCs/>
                <w:color w:val="1F497D" w:themeColor="text2"/>
                <w:sz w:val="14"/>
                <w:szCs w:val="14"/>
                <w:lang w:eastAsia="pl-PL"/>
              </w:rPr>
              <w:t>Instrument Finansowy </w:t>
            </w:r>
          </w:p>
        </w:tc>
        <w:tc>
          <w:tcPr>
            <w:tcW w:w="7297" w:type="dxa"/>
            <w:gridSpan w:val="2"/>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D4D6FCB" w14:textId="77777777" w:rsidR="007E73D2" w:rsidRPr="008337B4" w:rsidRDefault="007E73D2" w:rsidP="005F46FE">
            <w:pPr>
              <w:spacing w:after="0" w:line="240" w:lineRule="auto"/>
              <w:jc w:val="center"/>
              <w:rPr>
                <w:rFonts w:ascii="Verdana" w:eastAsia="Times New Roman" w:hAnsi="Verdana" w:cs="Times New Roman"/>
                <w:bCs/>
                <w:sz w:val="14"/>
                <w:szCs w:val="14"/>
                <w:lang w:eastAsia="pl-PL"/>
              </w:rPr>
            </w:pPr>
            <w:r w:rsidRPr="008337B4">
              <w:rPr>
                <w:rFonts w:ascii="Verdana" w:eastAsia="Times New Roman" w:hAnsi="Verdana" w:cs="Times New Roman"/>
                <w:bCs/>
                <w:sz w:val="14"/>
                <w:szCs w:val="14"/>
                <w:lang w:eastAsia="pl-PL"/>
              </w:rPr>
              <w:t xml:space="preserve">Mała Pożyczka Inwestycyjna </w:t>
            </w:r>
          </w:p>
        </w:tc>
      </w:tr>
      <w:tr w:rsidR="007E73D2" w:rsidRPr="000D62B3" w14:paraId="1E564F02" w14:textId="77777777" w:rsidTr="008C5300">
        <w:trPr>
          <w:trHeight w:val="165"/>
        </w:trPr>
        <w:tc>
          <w:tcPr>
            <w:tcW w:w="2626" w:type="dxa"/>
            <w:tcBorders>
              <w:top w:val="nil"/>
              <w:left w:val="single" w:sz="4" w:space="0" w:color="auto"/>
              <w:bottom w:val="single" w:sz="4" w:space="0" w:color="auto"/>
              <w:right w:val="single" w:sz="4" w:space="0" w:color="auto"/>
            </w:tcBorders>
            <w:shd w:val="clear" w:color="000000" w:fill="FFC000"/>
            <w:vAlign w:val="center"/>
            <w:hideMark/>
          </w:tcPr>
          <w:p w14:paraId="62125899" w14:textId="77777777" w:rsidR="007E73D2" w:rsidRPr="000D62B3" w:rsidRDefault="007E73D2" w:rsidP="005F46FE">
            <w:pPr>
              <w:spacing w:after="0" w:line="240" w:lineRule="auto"/>
              <w:rPr>
                <w:rFonts w:ascii="Verdana" w:eastAsia="Times New Roman" w:hAnsi="Verdana" w:cs="Times New Roman"/>
                <w:sz w:val="14"/>
                <w:szCs w:val="14"/>
                <w:lang w:eastAsia="pl-PL"/>
              </w:rPr>
            </w:pPr>
            <w:r w:rsidRPr="000D62B3">
              <w:rPr>
                <w:rFonts w:ascii="Verdana" w:eastAsia="Times New Roman" w:hAnsi="Verdana" w:cs="Times New Roman"/>
                <w:b/>
                <w:bCs/>
                <w:color w:val="1F497D"/>
                <w:sz w:val="14"/>
                <w:szCs w:val="14"/>
                <w:lang w:eastAsia="pl-PL"/>
              </w:rPr>
              <w:t>Kwota pożyczki</w:t>
            </w:r>
            <w:r w:rsidRPr="000D62B3">
              <w:rPr>
                <w:rFonts w:ascii="Verdana" w:eastAsia="Times New Roman" w:hAnsi="Verdana" w:cs="Times New Roman"/>
                <w:sz w:val="14"/>
                <w:szCs w:val="14"/>
                <w:lang w:eastAsia="pl-PL"/>
              </w:rPr>
              <w:t> </w:t>
            </w:r>
          </w:p>
        </w:tc>
        <w:tc>
          <w:tcPr>
            <w:tcW w:w="3681" w:type="dxa"/>
            <w:tcBorders>
              <w:top w:val="nil"/>
              <w:left w:val="nil"/>
              <w:bottom w:val="single" w:sz="4" w:space="0" w:color="auto"/>
              <w:right w:val="single" w:sz="4" w:space="0" w:color="auto"/>
            </w:tcBorders>
            <w:shd w:val="clear" w:color="auto" w:fill="C4BC96" w:themeFill="background2" w:themeFillShade="BF"/>
            <w:vAlign w:val="center"/>
            <w:hideMark/>
          </w:tcPr>
          <w:p w14:paraId="74DDBDEB" w14:textId="77777777" w:rsidR="007E73D2" w:rsidRPr="000D62B3" w:rsidRDefault="007E73D2" w:rsidP="007E73D2">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od 10 000,00 zł do 100 000,00 zł</w:t>
            </w:r>
            <w:r w:rsidR="00C66B55" w:rsidRPr="000D62B3">
              <w:rPr>
                <w:rFonts w:ascii="Verdana" w:eastAsia="Times New Roman" w:hAnsi="Verdana" w:cs="Times New Roman"/>
                <w:sz w:val="14"/>
                <w:szCs w:val="14"/>
                <w:vertAlign w:val="superscript"/>
                <w:lang w:eastAsia="pl-PL"/>
              </w:rPr>
              <w:t>1</w:t>
            </w:r>
          </w:p>
        </w:tc>
        <w:tc>
          <w:tcPr>
            <w:tcW w:w="3616" w:type="dxa"/>
            <w:tcBorders>
              <w:top w:val="nil"/>
              <w:left w:val="nil"/>
              <w:bottom w:val="single" w:sz="4" w:space="0" w:color="auto"/>
              <w:right w:val="single" w:sz="4" w:space="0" w:color="auto"/>
            </w:tcBorders>
            <w:shd w:val="clear" w:color="auto" w:fill="C4BC96" w:themeFill="background2" w:themeFillShade="BF"/>
            <w:vAlign w:val="center"/>
          </w:tcPr>
          <w:p w14:paraId="79CBE67D" w14:textId="77777777" w:rsidR="007E73D2" w:rsidRPr="000D62B3" w:rsidRDefault="007E73D2" w:rsidP="007E73D2">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od 100 000,01 zł do 500 000,00 zł</w:t>
            </w:r>
            <w:r w:rsidR="00C66B55" w:rsidRPr="000D62B3">
              <w:rPr>
                <w:rFonts w:ascii="Verdana" w:eastAsia="Times New Roman" w:hAnsi="Verdana" w:cs="Times New Roman"/>
                <w:sz w:val="14"/>
                <w:szCs w:val="14"/>
                <w:vertAlign w:val="superscript"/>
                <w:lang w:eastAsia="pl-PL"/>
              </w:rPr>
              <w:t>1</w:t>
            </w:r>
          </w:p>
        </w:tc>
      </w:tr>
      <w:tr w:rsidR="007E73D2" w:rsidRPr="000D62B3" w14:paraId="37133563" w14:textId="77777777" w:rsidTr="008C5300">
        <w:trPr>
          <w:trHeight w:val="267"/>
        </w:trPr>
        <w:tc>
          <w:tcPr>
            <w:tcW w:w="2626" w:type="dxa"/>
            <w:tcBorders>
              <w:top w:val="nil"/>
              <w:left w:val="single" w:sz="4" w:space="0" w:color="auto"/>
              <w:bottom w:val="single" w:sz="4" w:space="0" w:color="auto"/>
              <w:right w:val="single" w:sz="4" w:space="0" w:color="auto"/>
            </w:tcBorders>
            <w:shd w:val="clear" w:color="auto" w:fill="FFC000"/>
            <w:vAlign w:val="center"/>
            <w:hideMark/>
          </w:tcPr>
          <w:p w14:paraId="7021D478"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Wielkość firmy</w:t>
            </w:r>
          </w:p>
        </w:tc>
        <w:tc>
          <w:tcPr>
            <w:tcW w:w="3681" w:type="dxa"/>
            <w:tcBorders>
              <w:top w:val="single" w:sz="4" w:space="0" w:color="auto"/>
              <w:left w:val="nil"/>
              <w:bottom w:val="single" w:sz="4" w:space="0" w:color="auto"/>
              <w:right w:val="single" w:sz="4" w:space="0" w:color="000000"/>
            </w:tcBorders>
            <w:shd w:val="clear" w:color="000000" w:fill="C4BD97"/>
            <w:vAlign w:val="center"/>
            <w:hideMark/>
          </w:tcPr>
          <w:p w14:paraId="5CE0EA24" w14:textId="77777777" w:rsidR="007E73D2" w:rsidRPr="000D62B3" w:rsidRDefault="007E73D2" w:rsidP="007A7558">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mikro lub małe przedsiębiorstwa</w:t>
            </w:r>
            <w:r w:rsidR="007A7558" w:rsidRPr="000D62B3">
              <w:rPr>
                <w:rFonts w:ascii="Verdana" w:eastAsia="Times New Roman" w:hAnsi="Verdana" w:cs="Times New Roman"/>
                <w:sz w:val="14"/>
                <w:szCs w:val="14"/>
                <w:vertAlign w:val="superscript"/>
                <w:lang w:eastAsia="pl-PL"/>
              </w:rPr>
              <w:t>2</w:t>
            </w:r>
          </w:p>
        </w:tc>
        <w:tc>
          <w:tcPr>
            <w:tcW w:w="3616" w:type="dxa"/>
            <w:tcBorders>
              <w:top w:val="single" w:sz="4" w:space="0" w:color="auto"/>
              <w:left w:val="nil"/>
              <w:bottom w:val="single" w:sz="4" w:space="0" w:color="auto"/>
              <w:right w:val="single" w:sz="4" w:space="0" w:color="000000"/>
            </w:tcBorders>
            <w:shd w:val="clear" w:color="000000" w:fill="C4BD97"/>
            <w:vAlign w:val="center"/>
          </w:tcPr>
          <w:p w14:paraId="3B834C4F" w14:textId="77777777" w:rsidR="007E73D2" w:rsidRPr="000D62B3" w:rsidRDefault="007E73D2" w:rsidP="005F46FE">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mikro, małe lub średnie przedsiębiorstwa</w:t>
            </w:r>
          </w:p>
        </w:tc>
      </w:tr>
      <w:tr w:rsidR="007E73D2" w:rsidRPr="000D62B3" w14:paraId="0FFABBA5" w14:textId="77777777" w:rsidTr="008C5300">
        <w:trPr>
          <w:trHeight w:val="228"/>
        </w:trPr>
        <w:tc>
          <w:tcPr>
            <w:tcW w:w="2626" w:type="dxa"/>
            <w:tcBorders>
              <w:top w:val="nil"/>
              <w:left w:val="single" w:sz="8" w:space="0" w:color="auto"/>
              <w:bottom w:val="nil"/>
              <w:right w:val="nil"/>
            </w:tcBorders>
            <w:shd w:val="clear" w:color="auto" w:fill="FFC000"/>
            <w:noWrap/>
            <w:vAlign w:val="center"/>
            <w:hideMark/>
          </w:tcPr>
          <w:p w14:paraId="76F3E3C3"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Okres prowadzenia firmy</w:t>
            </w:r>
          </w:p>
        </w:tc>
        <w:tc>
          <w:tcPr>
            <w:tcW w:w="7297" w:type="dxa"/>
            <w:gridSpan w:val="2"/>
            <w:tcBorders>
              <w:top w:val="single" w:sz="4" w:space="0" w:color="auto"/>
              <w:left w:val="single" w:sz="4" w:space="0" w:color="auto"/>
              <w:bottom w:val="single" w:sz="4" w:space="0" w:color="auto"/>
              <w:right w:val="single" w:sz="4" w:space="0" w:color="000000"/>
            </w:tcBorders>
            <w:shd w:val="clear" w:color="000000" w:fill="C4BD97"/>
            <w:vAlign w:val="center"/>
            <w:hideMark/>
          </w:tcPr>
          <w:p w14:paraId="0575B704" w14:textId="77777777" w:rsidR="007E73D2" w:rsidRPr="000D62B3" w:rsidRDefault="007E73D2" w:rsidP="00751BA4">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 xml:space="preserve">od 0 miesięcy </w:t>
            </w:r>
          </w:p>
        </w:tc>
      </w:tr>
      <w:tr w:rsidR="007E73D2" w:rsidRPr="000D62B3" w14:paraId="668BB1FE" w14:textId="77777777" w:rsidTr="008C5300">
        <w:trPr>
          <w:trHeight w:val="280"/>
        </w:trPr>
        <w:tc>
          <w:tcPr>
            <w:tcW w:w="2626" w:type="dxa"/>
            <w:tcBorders>
              <w:top w:val="single" w:sz="4" w:space="0" w:color="auto"/>
              <w:left w:val="single" w:sz="8" w:space="0" w:color="auto"/>
              <w:bottom w:val="single" w:sz="4" w:space="0" w:color="auto"/>
              <w:right w:val="nil"/>
            </w:tcBorders>
            <w:shd w:val="clear" w:color="000000" w:fill="FABB00"/>
            <w:vAlign w:val="center"/>
            <w:hideMark/>
          </w:tcPr>
          <w:p w14:paraId="20FD5C58"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Oprocentowanie nominalne w skali roku</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32CC66AC" w14:textId="618C51A6" w:rsidR="007E73D2" w:rsidRPr="001D2068" w:rsidRDefault="008E2D39" w:rsidP="00F5095B">
            <w:pPr>
              <w:spacing w:after="0" w:line="240" w:lineRule="auto"/>
              <w:jc w:val="center"/>
              <w:rPr>
                <w:rFonts w:ascii="Verdana" w:eastAsia="Times New Roman" w:hAnsi="Verdana" w:cs="Times New Roman"/>
                <w:sz w:val="14"/>
                <w:szCs w:val="14"/>
                <w:lang w:eastAsia="pl-PL"/>
              </w:rPr>
            </w:pPr>
            <w:r w:rsidRPr="00F05B5F">
              <w:rPr>
                <w:rFonts w:ascii="Verdana" w:eastAsia="Times New Roman" w:hAnsi="Verdana" w:cs="Times New Roman"/>
                <w:sz w:val="14"/>
                <w:szCs w:val="14"/>
                <w:lang w:eastAsia="pl-PL"/>
              </w:rPr>
              <w:t>od 0,15</w:t>
            </w:r>
            <w:r w:rsidR="00F05B5F">
              <w:rPr>
                <w:rFonts w:ascii="Verdana" w:eastAsia="Times New Roman" w:hAnsi="Verdana" w:cs="Times New Roman"/>
                <w:sz w:val="14"/>
                <w:szCs w:val="14"/>
                <w:lang w:eastAsia="pl-PL"/>
              </w:rPr>
              <w:t>%</w:t>
            </w:r>
            <w:r w:rsidR="007A7558" w:rsidRPr="001D2068">
              <w:rPr>
                <w:rFonts w:ascii="Verdana" w:eastAsia="Times New Roman" w:hAnsi="Verdana" w:cs="Times New Roman"/>
                <w:sz w:val="14"/>
                <w:szCs w:val="14"/>
                <w:vertAlign w:val="superscript"/>
                <w:lang w:eastAsia="pl-PL"/>
              </w:rPr>
              <w:t>3</w:t>
            </w:r>
          </w:p>
        </w:tc>
      </w:tr>
      <w:tr w:rsidR="007E73D2" w:rsidRPr="000D62B3" w14:paraId="0C2A3E8B" w14:textId="77777777" w:rsidTr="008C5300">
        <w:trPr>
          <w:trHeight w:val="324"/>
        </w:trPr>
        <w:tc>
          <w:tcPr>
            <w:tcW w:w="2626" w:type="dxa"/>
            <w:tcBorders>
              <w:top w:val="nil"/>
              <w:left w:val="single" w:sz="8" w:space="0" w:color="auto"/>
              <w:bottom w:val="single" w:sz="4" w:space="0" w:color="auto"/>
              <w:right w:val="nil"/>
            </w:tcBorders>
            <w:shd w:val="clear" w:color="000000" w:fill="FABB00"/>
            <w:vAlign w:val="center"/>
            <w:hideMark/>
          </w:tcPr>
          <w:p w14:paraId="1838517D"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Okres spłaty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439AF7AF" w14:textId="5A487990" w:rsidR="001425DA" w:rsidRPr="001D2068" w:rsidRDefault="007E73D2" w:rsidP="003D2D0B">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do 84 miesięcy od dnia uruchomienia pożyczki</w:t>
            </w:r>
            <w:r w:rsidR="003D2D0B" w:rsidRPr="001D2068">
              <w:rPr>
                <w:rFonts w:ascii="Verdana" w:eastAsia="Times New Roman" w:hAnsi="Verdana" w:cs="Times New Roman"/>
                <w:sz w:val="14"/>
                <w:szCs w:val="14"/>
                <w:lang w:eastAsia="pl-PL"/>
              </w:rPr>
              <w:t xml:space="preserve">, </w:t>
            </w:r>
            <w:r w:rsidR="00C77585" w:rsidRPr="001D2068">
              <w:rPr>
                <w:rFonts w:ascii="Verdana" w:eastAsia="Times New Roman" w:hAnsi="Verdana" w:cs="Times New Roman"/>
                <w:sz w:val="14"/>
                <w:szCs w:val="14"/>
                <w:lang w:eastAsia="pl-PL"/>
              </w:rPr>
              <w:t>w przypadku</w:t>
            </w:r>
            <w:r w:rsidR="001425DA" w:rsidRPr="001D2068">
              <w:rPr>
                <w:rFonts w:ascii="Verdana" w:eastAsia="Times New Roman" w:hAnsi="Verdana" w:cs="Times New Roman"/>
                <w:sz w:val="14"/>
                <w:szCs w:val="14"/>
                <w:lang w:eastAsia="pl-PL"/>
              </w:rPr>
              <w:t xml:space="preserve"> pożyczek udzielanych                                 na zasadach de </w:t>
            </w:r>
            <w:proofErr w:type="spellStart"/>
            <w:r w:rsidR="001425DA" w:rsidRPr="001D2068">
              <w:rPr>
                <w:rFonts w:ascii="Verdana" w:eastAsia="Times New Roman" w:hAnsi="Verdana" w:cs="Times New Roman"/>
                <w:sz w:val="14"/>
                <w:szCs w:val="14"/>
                <w:lang w:eastAsia="pl-PL"/>
              </w:rPr>
              <w:t>minimis</w:t>
            </w:r>
            <w:proofErr w:type="spellEnd"/>
            <w:r w:rsidR="001425DA" w:rsidRPr="001D2068">
              <w:rPr>
                <w:rFonts w:ascii="Verdana" w:eastAsia="Times New Roman" w:hAnsi="Verdana" w:cs="Times New Roman"/>
                <w:sz w:val="14"/>
                <w:szCs w:val="14"/>
                <w:lang w:eastAsia="pl-PL"/>
              </w:rPr>
              <w:t xml:space="preserve"> i na zasadach rynkowych</w:t>
            </w:r>
            <w:r w:rsidR="007548B2">
              <w:rPr>
                <w:rFonts w:ascii="Verdana" w:eastAsia="Times New Roman" w:hAnsi="Verdana" w:cs="Times New Roman"/>
                <w:sz w:val="14"/>
                <w:szCs w:val="14"/>
                <w:vertAlign w:val="superscript"/>
                <w:lang w:eastAsia="pl-PL"/>
              </w:rPr>
              <w:t>4</w:t>
            </w:r>
          </w:p>
          <w:p w14:paraId="2B1CD529" w14:textId="400F55FC" w:rsidR="007E73D2" w:rsidRPr="001D2068" w:rsidRDefault="001425DA" w:rsidP="008E2D39">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do 72 miesięcy</w:t>
            </w:r>
            <w:r w:rsidR="001B7D00" w:rsidRPr="001D2068">
              <w:rPr>
                <w:rFonts w:ascii="Verdana" w:eastAsia="Times New Roman" w:hAnsi="Verdana" w:cs="Times New Roman"/>
                <w:sz w:val="14"/>
                <w:szCs w:val="14"/>
                <w:lang w:eastAsia="pl-PL"/>
              </w:rPr>
              <w:t xml:space="preserve"> od dnia uruchomienia pożyczki, </w:t>
            </w:r>
            <w:r w:rsidRPr="001D2068">
              <w:rPr>
                <w:rFonts w:ascii="Verdana" w:eastAsia="Times New Roman" w:hAnsi="Verdana" w:cs="Times New Roman"/>
                <w:sz w:val="14"/>
                <w:szCs w:val="14"/>
                <w:lang w:eastAsia="pl-PL"/>
              </w:rPr>
              <w:t>w przypadku pożyczek udzielanych</w:t>
            </w:r>
            <w:r w:rsidRPr="001D2068">
              <w:rPr>
                <w:rFonts w:ascii="Verdana" w:hAnsi="Verdana"/>
                <w:sz w:val="16"/>
                <w:szCs w:val="16"/>
              </w:rPr>
              <w:t xml:space="preserve"> </w:t>
            </w:r>
            <w:r w:rsidRPr="001D2068">
              <w:rPr>
                <w:rFonts w:ascii="Verdana" w:hAnsi="Verdana"/>
                <w:sz w:val="14"/>
                <w:szCs w:val="14"/>
              </w:rPr>
              <w:t xml:space="preserve">na podstawie Rozporządzenia Ministra Funduszy i Polityki Regionalnej z dnia 14 kwietnia 2020 roku </w:t>
            </w:r>
            <w:r w:rsidR="008E2D39">
              <w:rPr>
                <w:rFonts w:ascii="Verdana" w:hAnsi="Verdana"/>
                <w:sz w:val="14"/>
                <w:szCs w:val="14"/>
              </w:rPr>
              <w:t xml:space="preserve">                       </w:t>
            </w:r>
            <w:r w:rsidR="008E2D39" w:rsidRPr="00010159">
              <w:rPr>
                <w:rFonts w:ascii="Verdana" w:hAnsi="Verdana"/>
                <w:sz w:val="14"/>
                <w:szCs w:val="14"/>
                <w:highlight w:val="yellow"/>
              </w:rPr>
              <w:t xml:space="preserve"> </w:t>
            </w:r>
            <w:r w:rsidR="008E2D39" w:rsidRPr="00F05B5F">
              <w:rPr>
                <w:rFonts w:ascii="Verdana" w:hAnsi="Verdana"/>
                <w:sz w:val="14"/>
                <w:szCs w:val="14"/>
              </w:rPr>
              <w:t>wraz z późniejszymi zmianami</w:t>
            </w:r>
            <w:r w:rsidR="008E2D39" w:rsidRPr="001D2068">
              <w:rPr>
                <w:rFonts w:ascii="Verdana" w:hAnsi="Verdana"/>
                <w:sz w:val="14"/>
                <w:szCs w:val="14"/>
              </w:rPr>
              <w:t xml:space="preserve"> </w:t>
            </w:r>
            <w:r w:rsidRPr="001D2068">
              <w:rPr>
                <w:rFonts w:ascii="Verdana" w:hAnsi="Verdana"/>
                <w:sz w:val="14"/>
                <w:szCs w:val="14"/>
              </w:rPr>
              <w:t>w sprawie udzielania pomocy z instrumentów finansowych w ramach</w:t>
            </w:r>
            <w:r w:rsidR="008E2D39">
              <w:rPr>
                <w:rFonts w:ascii="Verdana" w:hAnsi="Verdana"/>
                <w:sz w:val="14"/>
                <w:szCs w:val="14"/>
              </w:rPr>
              <w:t xml:space="preserve"> programów operacyjnych na lata</w:t>
            </w:r>
            <w:r w:rsidR="007548B2">
              <w:rPr>
                <w:rFonts w:ascii="Verdana" w:hAnsi="Verdana"/>
                <w:sz w:val="14"/>
                <w:szCs w:val="14"/>
              </w:rPr>
              <w:t xml:space="preserve"> </w:t>
            </w:r>
            <w:r w:rsidRPr="001D2068">
              <w:rPr>
                <w:rFonts w:ascii="Verdana" w:hAnsi="Verdana"/>
                <w:sz w:val="14"/>
                <w:szCs w:val="14"/>
              </w:rPr>
              <w:t xml:space="preserve">2014-2020 w celu wspierania polskiej gospodarki </w:t>
            </w:r>
            <w:r w:rsidR="008E2D39">
              <w:rPr>
                <w:rFonts w:ascii="Verdana" w:hAnsi="Verdana"/>
                <w:sz w:val="14"/>
                <w:szCs w:val="14"/>
              </w:rPr>
              <w:t xml:space="preserve">                                 </w:t>
            </w:r>
            <w:r w:rsidRPr="001D2068">
              <w:rPr>
                <w:rFonts w:ascii="Verdana" w:hAnsi="Verdana"/>
                <w:sz w:val="14"/>
                <w:szCs w:val="14"/>
              </w:rPr>
              <w:t>w związku z wystąpieniem pandemii COVID-19</w:t>
            </w:r>
          </w:p>
        </w:tc>
      </w:tr>
      <w:tr w:rsidR="007E73D2" w:rsidRPr="000D62B3" w14:paraId="30B13073" w14:textId="77777777" w:rsidTr="008C5300">
        <w:trPr>
          <w:trHeight w:val="432"/>
        </w:trPr>
        <w:tc>
          <w:tcPr>
            <w:tcW w:w="2626" w:type="dxa"/>
            <w:tcBorders>
              <w:top w:val="nil"/>
              <w:left w:val="single" w:sz="8" w:space="0" w:color="auto"/>
              <w:bottom w:val="single" w:sz="4" w:space="0" w:color="auto"/>
              <w:right w:val="nil"/>
            </w:tcBorders>
            <w:shd w:val="clear" w:color="000000" w:fill="FABB00"/>
            <w:vAlign w:val="center"/>
            <w:hideMark/>
          </w:tcPr>
          <w:p w14:paraId="4BAE1A42"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 xml:space="preserve">Karencja </w:t>
            </w:r>
            <w:r w:rsidR="00B64225" w:rsidRPr="000D62B3">
              <w:rPr>
                <w:rFonts w:ascii="Verdana" w:eastAsia="Times New Roman" w:hAnsi="Verdana" w:cs="Times New Roman"/>
                <w:b/>
                <w:bCs/>
                <w:color w:val="1F497D"/>
                <w:sz w:val="14"/>
                <w:szCs w:val="14"/>
                <w:lang w:eastAsia="pl-PL"/>
              </w:rPr>
              <w:t xml:space="preserve">podstawowa                     </w:t>
            </w:r>
            <w:r w:rsidRPr="000D62B3">
              <w:rPr>
                <w:rFonts w:ascii="Verdana" w:eastAsia="Times New Roman" w:hAnsi="Verdana" w:cs="Times New Roman"/>
                <w:b/>
                <w:bCs/>
                <w:color w:val="1F497D"/>
                <w:sz w:val="14"/>
                <w:szCs w:val="14"/>
                <w:lang w:eastAsia="pl-PL"/>
              </w:rPr>
              <w:t>w spłacie kapitału</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713245EB" w14:textId="77777777" w:rsidR="007E73D2" w:rsidRPr="001D2068" w:rsidRDefault="003D2D0B" w:rsidP="00B64225">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k</w:t>
            </w:r>
            <w:r w:rsidR="00C77585" w:rsidRPr="001D2068">
              <w:rPr>
                <w:rFonts w:ascii="Verdana" w:eastAsia="Times New Roman" w:hAnsi="Verdana" w:cs="Times New Roman"/>
                <w:sz w:val="14"/>
                <w:szCs w:val="14"/>
                <w:lang w:eastAsia="pl-PL"/>
              </w:rPr>
              <w:t xml:space="preserve">arencja podstawowa </w:t>
            </w:r>
            <w:r w:rsidR="007E73D2" w:rsidRPr="001D2068">
              <w:rPr>
                <w:rFonts w:ascii="Verdana" w:eastAsia="Times New Roman" w:hAnsi="Verdana" w:cs="Times New Roman"/>
                <w:sz w:val="14"/>
                <w:szCs w:val="14"/>
                <w:lang w:eastAsia="pl-PL"/>
              </w:rPr>
              <w:t>do 6 miesięcy od dnia uruchomienia pożyczki</w:t>
            </w:r>
            <w:r w:rsidR="00C77585" w:rsidRPr="001D2068">
              <w:rPr>
                <w:rFonts w:ascii="Verdana" w:eastAsia="Times New Roman" w:hAnsi="Verdana" w:cs="Times New Roman"/>
                <w:sz w:val="14"/>
                <w:szCs w:val="14"/>
                <w:lang w:eastAsia="pl-PL"/>
              </w:rPr>
              <w:t xml:space="preserve">, </w:t>
            </w:r>
            <w:r w:rsidRPr="001D2068">
              <w:rPr>
                <w:rFonts w:ascii="Verdana" w:eastAsia="Times New Roman" w:hAnsi="Verdana" w:cs="Times New Roman"/>
                <w:sz w:val="14"/>
                <w:szCs w:val="14"/>
                <w:lang w:eastAsia="pl-PL"/>
              </w:rPr>
              <w:t>przy czym karencja podstawowa nie</w:t>
            </w:r>
            <w:r w:rsidR="00B64225" w:rsidRPr="001D2068">
              <w:rPr>
                <w:rFonts w:ascii="Verdana" w:eastAsia="Times New Roman" w:hAnsi="Verdana" w:cs="Times New Roman"/>
                <w:sz w:val="14"/>
                <w:szCs w:val="14"/>
                <w:lang w:eastAsia="pl-PL"/>
              </w:rPr>
              <w:t xml:space="preserve"> wydłuża okresu spłaty pożyczki</w:t>
            </w:r>
          </w:p>
        </w:tc>
      </w:tr>
      <w:tr w:rsidR="00B64225" w:rsidRPr="000D62B3" w14:paraId="47C90712" w14:textId="77777777" w:rsidTr="008C5300">
        <w:trPr>
          <w:trHeight w:val="370"/>
        </w:trPr>
        <w:tc>
          <w:tcPr>
            <w:tcW w:w="2626" w:type="dxa"/>
            <w:tcBorders>
              <w:top w:val="nil"/>
              <w:left w:val="single" w:sz="8" w:space="0" w:color="auto"/>
              <w:bottom w:val="single" w:sz="4" w:space="0" w:color="auto"/>
              <w:right w:val="nil"/>
            </w:tcBorders>
            <w:shd w:val="clear" w:color="auto" w:fill="FFC000"/>
            <w:vAlign w:val="center"/>
          </w:tcPr>
          <w:p w14:paraId="189C6ACB" w14:textId="77777777" w:rsidR="00B64225" w:rsidRPr="001D2068" w:rsidRDefault="00B64225" w:rsidP="00B64225">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Karencja dodatkowa                    w spłacie kapitału</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tcPr>
          <w:p w14:paraId="43B9BE5E" w14:textId="5C8B74A4" w:rsidR="00B64225" w:rsidRPr="00F05B5F" w:rsidRDefault="00D9679B" w:rsidP="006C678C">
            <w:pPr>
              <w:spacing w:after="0" w:line="240" w:lineRule="auto"/>
              <w:jc w:val="center"/>
              <w:rPr>
                <w:rFonts w:ascii="Verdana" w:eastAsia="Times New Roman" w:hAnsi="Verdana" w:cs="Times New Roman"/>
                <w:sz w:val="14"/>
                <w:szCs w:val="14"/>
                <w:lang w:eastAsia="pl-PL"/>
              </w:rPr>
            </w:pPr>
            <w:r w:rsidRPr="00F05B5F">
              <w:rPr>
                <w:rFonts w:ascii="Verdana" w:eastAsia="Times New Roman" w:hAnsi="Verdana" w:cs="Times New Roman"/>
                <w:sz w:val="14"/>
                <w:szCs w:val="14"/>
                <w:lang w:eastAsia="pl-PL"/>
              </w:rPr>
              <w:t xml:space="preserve">maksymalny okres karencji dodatkowej wynosi łącznie 12 miesięcy od dnia uruchomienia pożyczki,     z zastrzeżeniem, że karencja dodatkowa dotyczy wyłącznie przedsiębiorstw, u których wystąpiło pogorszenie się sytuacji </w:t>
            </w:r>
            <w:r w:rsidRPr="00F05B5F">
              <w:rPr>
                <w:rFonts w:ascii="Verdana" w:hAnsi="Verdana"/>
                <w:sz w:val="14"/>
                <w:szCs w:val="14"/>
              </w:rPr>
              <w:t>finansowej w związku z konsekwencjami epidemii COVID-19 w kraju                    lub na świecie, każdorazowa decyzja o udzieleniu karencji dodatkowej nie może dotyczyć okresu dłuższego niż 6 miesięcy i okres</w:t>
            </w:r>
            <w:r w:rsidRPr="00F05B5F">
              <w:rPr>
                <w:rFonts w:ascii="Verdana" w:eastAsia="Times New Roman" w:hAnsi="Verdana" w:cs="Times New Roman"/>
                <w:sz w:val="14"/>
                <w:szCs w:val="14"/>
                <w:lang w:eastAsia="pl-PL"/>
              </w:rPr>
              <w:t xml:space="preserve"> karencji dodatkowej rozpocznie się najpóźniej 30 czerwca 2021 roku (lub w terminie późniejszym w przypadku jego </w:t>
            </w:r>
            <w:r w:rsidRPr="00F05B5F">
              <w:rPr>
                <w:rFonts w:ascii="Verdana" w:hAnsi="Verdana"/>
                <w:sz w:val="14"/>
                <w:szCs w:val="14"/>
              </w:rPr>
              <w:t>wydłużenia decyzją Menadżera po zmianie odpowiednich przepisów unijnych i krajowych związanych z walką ze skutkami epidemii COVID-19</w:t>
            </w:r>
            <w:r w:rsidRPr="00F05B5F">
              <w:rPr>
                <w:rFonts w:ascii="Verdana" w:eastAsia="Times New Roman" w:hAnsi="Verdana" w:cs="Times New Roman"/>
                <w:sz w:val="14"/>
                <w:szCs w:val="14"/>
                <w:lang w:eastAsia="pl-PL"/>
              </w:rPr>
              <w:t>), przy czym okres karencji dodatkowej może wydłużyć ustalony okres spłaty pożyczki</w:t>
            </w:r>
          </w:p>
        </w:tc>
      </w:tr>
      <w:tr w:rsidR="008B4AE5" w:rsidRPr="000D62B3" w14:paraId="48C61FC6" w14:textId="77777777" w:rsidTr="008C5300">
        <w:trPr>
          <w:trHeight w:val="370"/>
        </w:trPr>
        <w:tc>
          <w:tcPr>
            <w:tcW w:w="2626" w:type="dxa"/>
            <w:tcBorders>
              <w:top w:val="nil"/>
              <w:left w:val="single" w:sz="8" w:space="0" w:color="auto"/>
              <w:bottom w:val="single" w:sz="4" w:space="0" w:color="auto"/>
              <w:right w:val="nil"/>
            </w:tcBorders>
            <w:shd w:val="clear" w:color="auto" w:fill="FFC000"/>
            <w:vAlign w:val="center"/>
          </w:tcPr>
          <w:p w14:paraId="06211F19" w14:textId="55360E47" w:rsidR="008B4AE5" w:rsidRPr="001D2068" w:rsidRDefault="008B4AE5" w:rsidP="008B4AE5">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Wakacje kredytowe w spłacie części odsetkowej</w:t>
            </w:r>
            <w:r w:rsidR="001B7D00" w:rsidRPr="001D2068">
              <w:rPr>
                <w:rFonts w:ascii="Verdana" w:eastAsia="Times New Roman" w:hAnsi="Verdana" w:cs="Times New Roman"/>
                <w:b/>
                <w:bCs/>
                <w:color w:val="1F497D"/>
                <w:sz w:val="14"/>
                <w:szCs w:val="14"/>
                <w:lang w:eastAsia="pl-PL"/>
              </w:rPr>
              <w:t xml:space="preserve"> lub</w:t>
            </w:r>
            <w:r w:rsidRPr="001D2068">
              <w:rPr>
                <w:rFonts w:ascii="Verdana" w:eastAsia="Times New Roman" w:hAnsi="Verdana" w:cs="Times New Roman"/>
                <w:b/>
                <w:bCs/>
                <w:color w:val="1F497D"/>
                <w:sz w:val="14"/>
                <w:szCs w:val="14"/>
                <w:lang w:eastAsia="pl-PL"/>
              </w:rPr>
              <w:t xml:space="preserve"> części kapitałowej lub całej raty kapitałowo - odsetkowej</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tcPr>
          <w:p w14:paraId="3FB2C897" w14:textId="06C48618" w:rsidR="008B4AE5" w:rsidRPr="00F05B5F" w:rsidRDefault="00D9679B" w:rsidP="00C86646">
            <w:pPr>
              <w:spacing w:after="0" w:line="240" w:lineRule="auto"/>
              <w:jc w:val="center"/>
              <w:rPr>
                <w:rFonts w:ascii="Verdana" w:eastAsia="Times New Roman" w:hAnsi="Verdana" w:cs="Times New Roman"/>
                <w:sz w:val="14"/>
                <w:szCs w:val="14"/>
                <w:lang w:eastAsia="pl-PL"/>
              </w:rPr>
            </w:pPr>
            <w:r w:rsidRPr="00F05B5F">
              <w:rPr>
                <w:rFonts w:ascii="Verdana" w:eastAsia="Times New Roman" w:hAnsi="Verdana" w:cs="Times New Roman"/>
                <w:sz w:val="14"/>
                <w:szCs w:val="14"/>
                <w:lang w:eastAsia="pl-PL"/>
              </w:rPr>
              <w:t xml:space="preserve">maksymalny okres wakacji kredytowych wynosi łącznie 12 miesięcy, z zastrzeżeniem, że wakacje kredytowe dotyczą wyłącznie przedsiębiorstw, u których wystąpiło pogorszenie się sytuacji </w:t>
            </w:r>
            <w:r w:rsidRPr="00F05B5F">
              <w:rPr>
                <w:rFonts w:ascii="Verdana" w:hAnsi="Verdana"/>
                <w:sz w:val="14"/>
                <w:szCs w:val="14"/>
              </w:rPr>
              <w:t>finansowej w związku z konsekwencjami epidemii COVID-19 w kraju lub na świecie, każdorazowa decyzja o udzieleniu wakacji kredytowych nie może dotyczyć okresu dłuższego niż 6 miesięcy i okres</w:t>
            </w:r>
            <w:r w:rsidRPr="00F05B5F">
              <w:rPr>
                <w:rFonts w:ascii="Verdana" w:eastAsia="Times New Roman" w:hAnsi="Verdana" w:cs="Times New Roman"/>
                <w:sz w:val="14"/>
                <w:szCs w:val="14"/>
                <w:lang w:eastAsia="pl-PL"/>
              </w:rPr>
              <w:t xml:space="preserve"> wakacji kredytowych rozpocznie się najpóźniej 30 czerwca 2021 roku (lub w terminie późniejszym               w przypadku jego </w:t>
            </w:r>
            <w:r w:rsidRPr="00F05B5F">
              <w:rPr>
                <w:rFonts w:ascii="Verdana" w:hAnsi="Verdana"/>
                <w:sz w:val="14"/>
                <w:szCs w:val="14"/>
              </w:rPr>
              <w:t>wydłużenia decyzją Menadżera po zmianie odpowiednich przepisów unijnych                       i krajowych związanych z walką ze skutkami epidemii COVID-19</w:t>
            </w:r>
            <w:r w:rsidRPr="00F05B5F">
              <w:rPr>
                <w:rFonts w:ascii="Verdana" w:eastAsia="Times New Roman" w:hAnsi="Verdana" w:cs="Times New Roman"/>
                <w:sz w:val="14"/>
                <w:szCs w:val="14"/>
                <w:lang w:eastAsia="pl-PL"/>
              </w:rPr>
              <w:t>), przy czym okres wakacji kredytowych może wydłużyć ustalony okres spłaty pożyczki</w:t>
            </w:r>
          </w:p>
        </w:tc>
      </w:tr>
      <w:tr w:rsidR="007E73D2" w:rsidRPr="000D62B3" w14:paraId="7D3CC151" w14:textId="77777777" w:rsidTr="008C5300">
        <w:trPr>
          <w:trHeight w:val="370"/>
        </w:trPr>
        <w:tc>
          <w:tcPr>
            <w:tcW w:w="2626" w:type="dxa"/>
            <w:tcBorders>
              <w:top w:val="nil"/>
              <w:left w:val="single" w:sz="8" w:space="0" w:color="auto"/>
              <w:bottom w:val="single" w:sz="4" w:space="0" w:color="auto"/>
              <w:right w:val="nil"/>
            </w:tcBorders>
            <w:shd w:val="clear" w:color="auto" w:fill="FFC000"/>
            <w:vAlign w:val="center"/>
            <w:hideMark/>
          </w:tcPr>
          <w:p w14:paraId="73BDBD60" w14:textId="77777777" w:rsidR="007E73D2" w:rsidRPr="001D2068" w:rsidRDefault="007E73D2" w:rsidP="005F46FE">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Wypłata środków z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511712E5" w14:textId="45A5B2E1" w:rsidR="007E73D2" w:rsidRPr="001D2068" w:rsidRDefault="007E73D2" w:rsidP="003E58EA">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jednorazowo/transzowanie</w:t>
            </w:r>
            <w:r w:rsidR="003E58EA">
              <w:rPr>
                <w:rFonts w:ascii="Verdana" w:eastAsia="Times New Roman" w:hAnsi="Verdana" w:cs="Times New Roman"/>
                <w:sz w:val="14"/>
                <w:szCs w:val="14"/>
                <w:vertAlign w:val="superscript"/>
                <w:lang w:eastAsia="pl-PL"/>
              </w:rPr>
              <w:t>5</w:t>
            </w:r>
            <w:r w:rsidR="00AB6B3B" w:rsidRPr="001D2068">
              <w:rPr>
                <w:rFonts w:ascii="Verdana" w:eastAsia="Times New Roman" w:hAnsi="Verdana" w:cs="Times New Roman"/>
                <w:sz w:val="14"/>
                <w:szCs w:val="14"/>
                <w:vertAlign w:val="superscript"/>
                <w:lang w:eastAsia="pl-PL"/>
              </w:rPr>
              <w:t>,</w:t>
            </w:r>
            <w:r w:rsidR="003E58EA">
              <w:rPr>
                <w:rFonts w:ascii="Verdana" w:eastAsia="Times New Roman" w:hAnsi="Verdana" w:cs="Times New Roman"/>
                <w:sz w:val="14"/>
                <w:szCs w:val="14"/>
                <w:vertAlign w:val="superscript"/>
                <w:lang w:eastAsia="pl-PL"/>
              </w:rPr>
              <w:t>6</w:t>
            </w:r>
          </w:p>
        </w:tc>
      </w:tr>
      <w:tr w:rsidR="001D63BC" w:rsidRPr="000D62B3" w14:paraId="4C511E86" w14:textId="77777777" w:rsidTr="00F65E55">
        <w:trPr>
          <w:trHeight w:val="501"/>
        </w:trPr>
        <w:tc>
          <w:tcPr>
            <w:tcW w:w="2626" w:type="dxa"/>
            <w:tcBorders>
              <w:top w:val="nil"/>
              <w:left w:val="single" w:sz="8" w:space="0" w:color="auto"/>
              <w:bottom w:val="single" w:sz="4" w:space="0" w:color="auto"/>
              <w:right w:val="nil"/>
            </w:tcBorders>
            <w:shd w:val="clear" w:color="auto" w:fill="FFC000"/>
            <w:vAlign w:val="center"/>
            <w:hideMark/>
          </w:tcPr>
          <w:p w14:paraId="1ED1305F" w14:textId="77777777" w:rsidR="001D63BC" w:rsidRPr="001D2068" w:rsidRDefault="001D63BC" w:rsidP="005F46FE">
            <w:pPr>
              <w:spacing w:after="0" w:line="240" w:lineRule="auto"/>
              <w:rPr>
                <w:rFonts w:ascii="Verdana" w:eastAsia="Times New Roman" w:hAnsi="Verdana" w:cs="Times New Roman"/>
                <w:b/>
                <w:bCs/>
                <w:color w:val="1F497D"/>
                <w:sz w:val="14"/>
                <w:szCs w:val="14"/>
                <w:lang w:eastAsia="pl-PL"/>
              </w:rPr>
            </w:pPr>
            <w:r w:rsidRPr="001D2068">
              <w:rPr>
                <w:rFonts w:ascii="Verdana" w:eastAsia="Times New Roman" w:hAnsi="Verdana" w:cs="Times New Roman"/>
                <w:b/>
                <w:bCs/>
                <w:color w:val="1F497D"/>
                <w:sz w:val="14"/>
                <w:szCs w:val="14"/>
                <w:lang w:eastAsia="pl-PL"/>
              </w:rPr>
              <w:t>Rozliczenie środków</w:t>
            </w:r>
            <w:r w:rsidR="005F46FE" w:rsidRPr="001D2068">
              <w:rPr>
                <w:rFonts w:ascii="Verdana" w:eastAsia="Times New Roman" w:hAnsi="Verdana" w:cs="Times New Roman"/>
                <w:b/>
                <w:bCs/>
                <w:color w:val="1F497D"/>
                <w:sz w:val="14"/>
                <w:szCs w:val="14"/>
                <w:lang w:eastAsia="pl-PL"/>
              </w:rPr>
              <w:t xml:space="preserve"> </w:t>
            </w:r>
            <w:r w:rsidRPr="001D2068">
              <w:rPr>
                <w:rFonts w:ascii="Verdana" w:eastAsia="Times New Roman" w:hAnsi="Verdana" w:cs="Times New Roman"/>
                <w:b/>
                <w:bCs/>
                <w:color w:val="1F497D"/>
                <w:sz w:val="14"/>
                <w:szCs w:val="14"/>
                <w:lang w:eastAsia="pl-PL"/>
              </w:rPr>
              <w:t>z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5A396E5F" w14:textId="77777777" w:rsidR="001D63BC" w:rsidRPr="001D2068" w:rsidRDefault="001D63BC" w:rsidP="005F46FE">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 xml:space="preserve">do 180 dni kalendarzowych od dnia wypłaty pełnej kwoty pożyczki </w:t>
            </w:r>
          </w:p>
          <w:p w14:paraId="684C25C0" w14:textId="4D9430CC" w:rsidR="001D63BC" w:rsidRPr="001D2068" w:rsidRDefault="001D63BC" w:rsidP="000D62B3">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 xml:space="preserve">(w uzasadnionych przypadkach </w:t>
            </w:r>
            <w:r w:rsidR="000D62B3" w:rsidRPr="001D2068">
              <w:rPr>
                <w:rFonts w:ascii="Verdana" w:eastAsia="Times New Roman" w:hAnsi="Verdana" w:cs="Times New Roman"/>
                <w:sz w:val="14"/>
                <w:szCs w:val="14"/>
                <w:lang w:eastAsia="pl-PL"/>
              </w:rPr>
              <w:t xml:space="preserve">ze względu na charakter Inwestycji </w:t>
            </w:r>
            <w:r w:rsidRPr="001D2068">
              <w:rPr>
                <w:rFonts w:ascii="Verdana" w:eastAsia="Times New Roman" w:hAnsi="Verdana" w:cs="Times New Roman"/>
                <w:sz w:val="14"/>
                <w:szCs w:val="14"/>
                <w:lang w:eastAsia="pl-PL"/>
              </w:rPr>
              <w:t>do 270 dni</w:t>
            </w:r>
            <w:r w:rsidR="000D62B3" w:rsidRPr="001D2068">
              <w:rPr>
                <w:rFonts w:ascii="Verdana" w:eastAsia="Times New Roman" w:hAnsi="Verdana" w:cs="Times New Roman"/>
                <w:sz w:val="14"/>
                <w:szCs w:val="14"/>
                <w:lang w:eastAsia="pl-PL"/>
              </w:rPr>
              <w:t xml:space="preserve"> lub 330 dni                       w przypadku pożyczek udzielanych na cele inwestycyjne, </w:t>
            </w:r>
            <w:r w:rsidR="001B7D00" w:rsidRPr="001D2068">
              <w:rPr>
                <w:rFonts w:ascii="Verdana" w:eastAsia="Times New Roman" w:hAnsi="Verdana" w:cs="Times New Roman"/>
                <w:sz w:val="14"/>
                <w:szCs w:val="14"/>
                <w:lang w:eastAsia="pl-PL"/>
              </w:rPr>
              <w:t xml:space="preserve">jeśli na realizację </w:t>
            </w:r>
            <w:r w:rsidR="00A40EB9">
              <w:rPr>
                <w:rFonts w:ascii="Verdana" w:eastAsia="Times New Roman" w:hAnsi="Verdana" w:cs="Times New Roman"/>
                <w:sz w:val="14"/>
                <w:szCs w:val="14"/>
                <w:lang w:eastAsia="pl-PL"/>
              </w:rPr>
              <w:t xml:space="preserve">inwestycji </w:t>
            </w:r>
            <w:r w:rsidR="000D62B3" w:rsidRPr="001D2068">
              <w:rPr>
                <w:rFonts w:ascii="Verdana" w:eastAsia="Times New Roman" w:hAnsi="Verdana" w:cs="Times New Roman"/>
                <w:sz w:val="14"/>
                <w:szCs w:val="14"/>
                <w:lang w:eastAsia="pl-PL"/>
              </w:rPr>
              <w:t>negatywn</w:t>
            </w:r>
            <w:r w:rsidR="001B7D00" w:rsidRPr="001D2068">
              <w:rPr>
                <w:rFonts w:ascii="Verdana" w:eastAsia="Times New Roman" w:hAnsi="Verdana" w:cs="Times New Roman"/>
                <w:sz w:val="14"/>
                <w:szCs w:val="14"/>
                <w:lang w:eastAsia="pl-PL"/>
              </w:rPr>
              <w:t>y</w:t>
            </w:r>
            <w:r w:rsidR="000D62B3" w:rsidRPr="001D2068">
              <w:rPr>
                <w:rFonts w:ascii="Verdana" w:eastAsia="Times New Roman" w:hAnsi="Verdana" w:cs="Times New Roman"/>
                <w:sz w:val="14"/>
                <w:szCs w:val="14"/>
                <w:lang w:eastAsia="pl-PL"/>
              </w:rPr>
              <w:t xml:space="preserve"> wpływ </w:t>
            </w:r>
            <w:r w:rsidR="001B7D00" w:rsidRPr="001D2068">
              <w:rPr>
                <w:rFonts w:ascii="Verdana" w:eastAsia="Times New Roman" w:hAnsi="Verdana" w:cs="Times New Roman"/>
                <w:sz w:val="14"/>
                <w:szCs w:val="14"/>
                <w:lang w:eastAsia="pl-PL"/>
              </w:rPr>
              <w:t xml:space="preserve">ma </w:t>
            </w:r>
            <w:r w:rsidR="000D62B3" w:rsidRPr="001D2068">
              <w:rPr>
                <w:rFonts w:ascii="Verdana" w:eastAsia="Times New Roman" w:hAnsi="Verdana" w:cs="Times New Roman"/>
                <w:sz w:val="14"/>
                <w:szCs w:val="14"/>
                <w:lang w:eastAsia="pl-PL"/>
              </w:rPr>
              <w:t>epidemii COVID-19</w:t>
            </w:r>
            <w:r w:rsidRPr="001D2068">
              <w:rPr>
                <w:rFonts w:ascii="Verdana" w:eastAsia="Times New Roman" w:hAnsi="Verdana" w:cs="Times New Roman"/>
                <w:sz w:val="14"/>
                <w:szCs w:val="14"/>
                <w:lang w:eastAsia="pl-PL"/>
              </w:rPr>
              <w:t>)</w:t>
            </w:r>
          </w:p>
        </w:tc>
      </w:tr>
      <w:tr w:rsidR="001D63BC" w:rsidRPr="000D62B3" w14:paraId="4E9FCC43" w14:textId="77777777" w:rsidTr="00F65E55">
        <w:trPr>
          <w:trHeight w:val="306"/>
        </w:trPr>
        <w:tc>
          <w:tcPr>
            <w:tcW w:w="2626" w:type="dxa"/>
            <w:tcBorders>
              <w:top w:val="nil"/>
              <w:left w:val="single" w:sz="8" w:space="0" w:color="auto"/>
              <w:bottom w:val="single" w:sz="4" w:space="0" w:color="auto"/>
              <w:right w:val="nil"/>
            </w:tcBorders>
            <w:shd w:val="clear" w:color="auto" w:fill="FFC000"/>
            <w:vAlign w:val="center"/>
            <w:hideMark/>
          </w:tcPr>
          <w:p w14:paraId="5F0CEA79" w14:textId="77777777" w:rsidR="001D63BC" w:rsidRPr="000D62B3" w:rsidRDefault="001D63BC"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Wkład własny</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0D8BFE19" w14:textId="77777777" w:rsidR="001D63BC" w:rsidRPr="001D2068" w:rsidRDefault="001D63BC" w:rsidP="001F56DD">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nie wymagany</w:t>
            </w:r>
          </w:p>
        </w:tc>
      </w:tr>
      <w:tr w:rsidR="001D63BC" w:rsidRPr="000D62B3" w14:paraId="5CBEF3B8" w14:textId="77777777" w:rsidTr="00F65E55">
        <w:trPr>
          <w:trHeight w:val="280"/>
        </w:trPr>
        <w:tc>
          <w:tcPr>
            <w:tcW w:w="2626" w:type="dxa"/>
            <w:tcBorders>
              <w:top w:val="nil"/>
              <w:left w:val="single" w:sz="8" w:space="0" w:color="auto"/>
              <w:bottom w:val="single" w:sz="4" w:space="0" w:color="auto"/>
              <w:right w:val="nil"/>
            </w:tcBorders>
            <w:shd w:val="clear" w:color="auto" w:fill="FFC000"/>
            <w:vAlign w:val="center"/>
            <w:hideMark/>
          </w:tcPr>
          <w:p w14:paraId="636C159B" w14:textId="77777777" w:rsidR="001D63BC" w:rsidRPr="000D62B3" w:rsidRDefault="001D63BC"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Prowizja i opłaty związane z udzieleniem i obsługą pożyczki</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4485D165" w14:textId="77777777" w:rsidR="001D63BC" w:rsidRPr="001D2068" w:rsidRDefault="001D63BC" w:rsidP="005F46FE">
            <w:pPr>
              <w:spacing w:after="0" w:line="240" w:lineRule="auto"/>
              <w:jc w:val="center"/>
              <w:rPr>
                <w:rFonts w:ascii="Verdana" w:eastAsia="Times New Roman" w:hAnsi="Verdana" w:cs="Times New Roman"/>
                <w:sz w:val="14"/>
                <w:szCs w:val="14"/>
                <w:lang w:eastAsia="pl-PL"/>
              </w:rPr>
            </w:pPr>
            <w:r w:rsidRPr="001D2068">
              <w:rPr>
                <w:rFonts w:ascii="Verdana" w:eastAsia="Times New Roman" w:hAnsi="Verdana" w:cs="Times New Roman"/>
                <w:sz w:val="14"/>
                <w:szCs w:val="14"/>
                <w:lang w:eastAsia="pl-PL"/>
              </w:rPr>
              <w:t xml:space="preserve">brak </w:t>
            </w:r>
          </w:p>
        </w:tc>
      </w:tr>
      <w:tr w:rsidR="001D63BC" w:rsidRPr="000D62B3" w14:paraId="67FCA6D5" w14:textId="77777777" w:rsidTr="00F65E55">
        <w:trPr>
          <w:trHeight w:val="280"/>
        </w:trPr>
        <w:tc>
          <w:tcPr>
            <w:tcW w:w="2626" w:type="dxa"/>
            <w:tcBorders>
              <w:top w:val="nil"/>
              <w:left w:val="single" w:sz="8" w:space="0" w:color="auto"/>
              <w:bottom w:val="nil"/>
              <w:right w:val="nil"/>
            </w:tcBorders>
            <w:shd w:val="clear" w:color="auto" w:fill="FFC000"/>
            <w:vAlign w:val="center"/>
            <w:hideMark/>
          </w:tcPr>
          <w:p w14:paraId="2498C67E" w14:textId="77777777" w:rsidR="001D63BC" w:rsidRPr="000D62B3" w:rsidRDefault="001D63BC"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Rodzaj zabezpieczenia</w:t>
            </w:r>
            <w:r w:rsidR="005F46FE" w:rsidRPr="000D62B3">
              <w:rPr>
                <w:rFonts w:ascii="Verdana" w:eastAsia="Times New Roman" w:hAnsi="Verdana" w:cs="Times New Roman"/>
                <w:b/>
                <w:bCs/>
                <w:color w:val="1F497D"/>
                <w:sz w:val="14"/>
                <w:szCs w:val="14"/>
                <w:lang w:eastAsia="pl-PL"/>
              </w:rPr>
              <w:t xml:space="preserve"> </w:t>
            </w:r>
            <w:r w:rsidRPr="000D62B3">
              <w:rPr>
                <w:rFonts w:ascii="Verdana" w:eastAsia="Times New Roman" w:hAnsi="Verdana" w:cs="Times New Roman"/>
                <w:b/>
                <w:bCs/>
                <w:color w:val="1F497D"/>
                <w:sz w:val="14"/>
                <w:szCs w:val="14"/>
                <w:lang w:eastAsia="pl-PL"/>
              </w:rPr>
              <w:t>(obligatoryjnie weksel własny in blanco)</w:t>
            </w:r>
          </w:p>
        </w:tc>
        <w:tc>
          <w:tcPr>
            <w:tcW w:w="7297" w:type="dxa"/>
            <w:gridSpan w:val="2"/>
            <w:tcBorders>
              <w:top w:val="nil"/>
              <w:left w:val="single" w:sz="4" w:space="0" w:color="auto"/>
              <w:bottom w:val="single" w:sz="4" w:space="0" w:color="auto"/>
              <w:right w:val="single" w:sz="4" w:space="0" w:color="auto"/>
            </w:tcBorders>
            <w:shd w:val="clear" w:color="000000" w:fill="C4BD97"/>
            <w:vAlign w:val="center"/>
            <w:hideMark/>
          </w:tcPr>
          <w:p w14:paraId="140391CA" w14:textId="25CAFBE8" w:rsidR="001D63BC" w:rsidRPr="000D62B3" w:rsidRDefault="001D63BC" w:rsidP="003E58EA">
            <w:pPr>
              <w:spacing w:after="0" w:line="240" w:lineRule="auto"/>
              <w:jc w:val="center"/>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poręczyciel(e) i/lub cesja praw z lokaty i/lub hipoteka i/lub sądowy zastaw rejestrowy</w:t>
            </w:r>
            <w:r w:rsidR="003E58EA">
              <w:rPr>
                <w:rFonts w:ascii="Verdana" w:eastAsia="Times New Roman" w:hAnsi="Verdana" w:cs="Times New Roman"/>
                <w:sz w:val="14"/>
                <w:szCs w:val="14"/>
                <w:vertAlign w:val="superscript"/>
                <w:lang w:eastAsia="pl-PL"/>
              </w:rPr>
              <w:t>7</w:t>
            </w:r>
          </w:p>
        </w:tc>
      </w:tr>
      <w:tr w:rsidR="007E73D2" w:rsidRPr="000D62B3" w14:paraId="559BBCBD" w14:textId="77777777" w:rsidTr="008C5300">
        <w:trPr>
          <w:trHeight w:val="412"/>
        </w:trPr>
        <w:tc>
          <w:tcPr>
            <w:tcW w:w="26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29918E9" w14:textId="77777777" w:rsidR="007E73D2" w:rsidRPr="000D62B3" w:rsidRDefault="007E73D2" w:rsidP="005F46FE">
            <w:pPr>
              <w:spacing w:after="0" w:line="240" w:lineRule="auto"/>
              <w:rPr>
                <w:rFonts w:ascii="Verdana" w:eastAsia="Times New Roman" w:hAnsi="Verdana" w:cs="Times New Roman"/>
                <w:b/>
                <w:bCs/>
                <w:color w:val="1F497D"/>
                <w:sz w:val="14"/>
                <w:szCs w:val="14"/>
                <w:lang w:eastAsia="pl-PL"/>
              </w:rPr>
            </w:pPr>
            <w:r w:rsidRPr="000D62B3">
              <w:rPr>
                <w:rFonts w:ascii="Verdana" w:eastAsia="Times New Roman" w:hAnsi="Verdana" w:cs="Times New Roman"/>
                <w:b/>
                <w:bCs/>
                <w:color w:val="1F497D"/>
                <w:sz w:val="14"/>
                <w:szCs w:val="14"/>
                <w:lang w:eastAsia="pl-PL"/>
              </w:rPr>
              <w:t>Limit finansowania</w:t>
            </w:r>
          </w:p>
        </w:tc>
        <w:tc>
          <w:tcPr>
            <w:tcW w:w="7297" w:type="dxa"/>
            <w:gridSpan w:val="2"/>
            <w:tcBorders>
              <w:top w:val="single" w:sz="4" w:space="0" w:color="auto"/>
              <w:left w:val="nil"/>
              <w:bottom w:val="single" w:sz="4" w:space="0" w:color="auto"/>
              <w:right w:val="single" w:sz="4" w:space="0" w:color="000000"/>
            </w:tcBorders>
            <w:shd w:val="clear" w:color="000000" w:fill="C4BD97"/>
            <w:vAlign w:val="center"/>
            <w:hideMark/>
          </w:tcPr>
          <w:p w14:paraId="265D9330" w14:textId="77777777" w:rsidR="007E73D2" w:rsidRPr="000D62B3" w:rsidRDefault="007E73D2" w:rsidP="00EE6E83">
            <w:pPr>
              <w:pStyle w:val="Akapitzlist"/>
              <w:numPr>
                <w:ilvl w:val="0"/>
                <w:numId w:val="4"/>
              </w:numPr>
              <w:tabs>
                <w:tab w:val="left" w:pos="213"/>
                <w:tab w:val="left" w:pos="1156"/>
              </w:tabs>
              <w:spacing w:after="0" w:line="240" w:lineRule="auto"/>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do 10% kwoty pożyczki na zakup gruntów niezabudowanych i zabudowanych</w:t>
            </w:r>
          </w:p>
          <w:p w14:paraId="6EE46B88" w14:textId="77777777" w:rsidR="00C86646" w:rsidRPr="000D62B3" w:rsidRDefault="007E73D2" w:rsidP="00CE2B03">
            <w:pPr>
              <w:pStyle w:val="Akapitzlist"/>
              <w:numPr>
                <w:ilvl w:val="0"/>
                <w:numId w:val="4"/>
              </w:numPr>
              <w:tabs>
                <w:tab w:val="left" w:pos="213"/>
                <w:tab w:val="left" w:pos="1181"/>
                <w:tab w:val="left" w:pos="1343"/>
              </w:tabs>
              <w:spacing w:after="0" w:line="240" w:lineRule="auto"/>
              <w:jc w:val="both"/>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do 50% kwoty pożyczki na wsparcie o charakterze obrotowym</w:t>
            </w:r>
            <w:r w:rsidR="003C4CDA" w:rsidRPr="000D62B3">
              <w:rPr>
                <w:rFonts w:ascii="Verdana" w:eastAsia="Times New Roman" w:hAnsi="Verdana" w:cs="Times New Roman"/>
                <w:sz w:val="14"/>
                <w:szCs w:val="14"/>
                <w:lang w:eastAsia="pl-PL"/>
              </w:rPr>
              <w:t xml:space="preserve"> </w:t>
            </w:r>
          </w:p>
          <w:p w14:paraId="4BFE2B1B" w14:textId="77777777" w:rsidR="00C86646" w:rsidRPr="000D62B3" w:rsidRDefault="003C4CDA" w:rsidP="00C86646">
            <w:pPr>
              <w:pStyle w:val="Akapitzlist"/>
              <w:tabs>
                <w:tab w:val="left" w:pos="213"/>
                <w:tab w:val="left" w:pos="1181"/>
                <w:tab w:val="left" w:pos="1343"/>
              </w:tabs>
              <w:spacing w:after="0" w:line="240" w:lineRule="auto"/>
              <w:ind w:left="573"/>
              <w:jc w:val="both"/>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lub</w:t>
            </w:r>
          </w:p>
          <w:p w14:paraId="70C87775" w14:textId="641BA5C5" w:rsidR="007E73D2" w:rsidRPr="000D62B3" w:rsidRDefault="003C4CDA" w:rsidP="003E58EA">
            <w:pPr>
              <w:pStyle w:val="Akapitzlist"/>
              <w:tabs>
                <w:tab w:val="left" w:pos="213"/>
                <w:tab w:val="left" w:pos="1181"/>
                <w:tab w:val="left" w:pos="1343"/>
              </w:tabs>
              <w:spacing w:after="0" w:line="240" w:lineRule="auto"/>
              <w:ind w:left="573"/>
              <w:jc w:val="both"/>
              <w:rPr>
                <w:rFonts w:ascii="Verdana" w:eastAsia="Times New Roman" w:hAnsi="Verdana" w:cs="Times New Roman"/>
                <w:sz w:val="14"/>
                <w:szCs w:val="14"/>
                <w:lang w:eastAsia="pl-PL"/>
              </w:rPr>
            </w:pPr>
            <w:r w:rsidRPr="000D62B3">
              <w:rPr>
                <w:rFonts w:ascii="Verdana" w:eastAsia="Times New Roman" w:hAnsi="Verdana" w:cs="Times New Roman"/>
                <w:sz w:val="14"/>
                <w:szCs w:val="14"/>
                <w:lang w:eastAsia="pl-PL"/>
              </w:rPr>
              <w:t>do 100% kwoty pożyczki na finansowanie bieżącej działalności przedsiębiorstwa, w tym jego kapitału obrotowego</w:t>
            </w:r>
            <w:r w:rsidR="00C86646" w:rsidRPr="000D62B3">
              <w:rPr>
                <w:rFonts w:ascii="Verdana" w:eastAsia="Times New Roman" w:hAnsi="Verdana" w:cs="Times New Roman"/>
                <w:sz w:val="14"/>
                <w:szCs w:val="14"/>
                <w:lang w:eastAsia="pl-PL"/>
              </w:rPr>
              <w:t xml:space="preserve">, </w:t>
            </w:r>
            <w:r w:rsidRPr="000D62B3">
              <w:rPr>
                <w:rFonts w:ascii="Verdana" w:eastAsia="Times New Roman" w:hAnsi="Verdana" w:cs="Times New Roman"/>
                <w:sz w:val="14"/>
                <w:szCs w:val="14"/>
                <w:lang w:eastAsia="pl-PL"/>
              </w:rPr>
              <w:t xml:space="preserve">w </w:t>
            </w:r>
            <w:r w:rsidR="00BB18FE" w:rsidRPr="000D62B3">
              <w:rPr>
                <w:rFonts w:ascii="Verdana" w:eastAsia="Times New Roman" w:hAnsi="Verdana" w:cs="Times New Roman"/>
                <w:sz w:val="14"/>
                <w:szCs w:val="14"/>
                <w:lang w:eastAsia="pl-PL"/>
              </w:rPr>
              <w:t>przypadku pożyczek</w:t>
            </w:r>
            <w:r w:rsidRPr="000D62B3">
              <w:rPr>
                <w:rFonts w:ascii="Verdana" w:eastAsia="Times New Roman" w:hAnsi="Verdana" w:cs="Times New Roman"/>
                <w:sz w:val="14"/>
                <w:szCs w:val="14"/>
                <w:lang w:eastAsia="pl-PL"/>
              </w:rPr>
              <w:t xml:space="preserve"> udzielanych przedsiębiorstwom dotkniętym negatywnymi skutkami epidemii COVID-19 i/lub realizujących przedsięwzięcia</w:t>
            </w:r>
            <w:r w:rsidR="003E58EA">
              <w:rPr>
                <w:rFonts w:ascii="Verdana" w:eastAsia="Times New Roman" w:hAnsi="Verdana" w:cs="Times New Roman"/>
                <w:sz w:val="14"/>
                <w:szCs w:val="14"/>
                <w:vertAlign w:val="superscript"/>
                <w:lang w:eastAsia="pl-PL"/>
              </w:rPr>
              <w:t>8</w:t>
            </w:r>
            <w:r w:rsidRPr="000D62B3">
              <w:rPr>
                <w:rFonts w:ascii="Verdana" w:eastAsia="Times New Roman" w:hAnsi="Verdana" w:cs="Times New Roman"/>
                <w:sz w:val="14"/>
                <w:szCs w:val="14"/>
                <w:lang w:eastAsia="pl-PL"/>
              </w:rPr>
              <w:t xml:space="preserve"> przyczyniające się do przeciwdziałania epidemii COVID-19, z zastrzeżeniem, że w przypadku </w:t>
            </w:r>
            <w:r w:rsidR="00CE2B03" w:rsidRPr="000D62B3">
              <w:rPr>
                <w:rFonts w:ascii="Verdana" w:eastAsia="Times New Roman" w:hAnsi="Verdana" w:cs="Times New Roman"/>
                <w:sz w:val="14"/>
                <w:szCs w:val="14"/>
                <w:lang w:eastAsia="pl-PL"/>
              </w:rPr>
              <w:t xml:space="preserve">finansowania jakiejkolwiek inwestycji, kapitał obrotowy może być finansowany </w:t>
            </w:r>
            <w:r w:rsidR="00BB18FE" w:rsidRPr="000D62B3">
              <w:rPr>
                <w:rFonts w:ascii="Verdana" w:eastAsia="Times New Roman" w:hAnsi="Verdana" w:cs="Times New Roman"/>
                <w:sz w:val="14"/>
                <w:szCs w:val="14"/>
                <w:lang w:eastAsia="pl-PL"/>
              </w:rPr>
              <w:t>do 50% wydatków ponoszonych w ramach inwestycji</w:t>
            </w:r>
            <w:r w:rsidR="003E58EA">
              <w:rPr>
                <w:rFonts w:ascii="Verdana" w:eastAsia="Times New Roman" w:hAnsi="Verdana" w:cs="Times New Roman"/>
                <w:sz w:val="14"/>
                <w:szCs w:val="14"/>
                <w:lang w:eastAsia="pl-PL"/>
              </w:rPr>
              <w:t>.</w:t>
            </w:r>
          </w:p>
        </w:tc>
      </w:tr>
    </w:tbl>
    <w:p w14:paraId="52A4749A" w14:textId="77777777" w:rsidR="00CB1635" w:rsidRPr="000D62B3" w:rsidRDefault="00CB1635" w:rsidP="001D63BC">
      <w:pPr>
        <w:spacing w:after="0"/>
        <w:rPr>
          <w:sz w:val="13"/>
          <w:szCs w:val="13"/>
        </w:rPr>
      </w:pPr>
    </w:p>
    <w:tbl>
      <w:tblPr>
        <w:tblStyle w:val="Tabela-Siatka"/>
        <w:tblW w:w="9923" w:type="dxa"/>
        <w:tblInd w:w="-176" w:type="dxa"/>
        <w:tblLook w:val="04A0" w:firstRow="1" w:lastRow="0" w:firstColumn="1" w:lastColumn="0" w:noHBand="0" w:noVBand="1"/>
      </w:tblPr>
      <w:tblGrid>
        <w:gridCol w:w="9923"/>
      </w:tblGrid>
      <w:tr w:rsidR="00C66B55" w:rsidRPr="000D62B3" w14:paraId="7A13C4B6" w14:textId="77777777" w:rsidTr="005F46FE">
        <w:trPr>
          <w:trHeight w:val="330"/>
        </w:trPr>
        <w:tc>
          <w:tcPr>
            <w:tcW w:w="9923" w:type="dxa"/>
            <w:shd w:val="clear" w:color="auto" w:fill="auto"/>
          </w:tcPr>
          <w:p w14:paraId="0A1A1EE7" w14:textId="006923BB" w:rsidR="00C66B55" w:rsidRPr="000D62B3" w:rsidRDefault="00C66B55" w:rsidP="00C66B55">
            <w:pPr>
              <w:pStyle w:val="Akapitzlist"/>
              <w:numPr>
                <w:ilvl w:val="0"/>
                <w:numId w:val="9"/>
              </w:numPr>
              <w:ind w:left="176" w:hanging="176"/>
              <w:jc w:val="both"/>
              <w:rPr>
                <w:rFonts w:ascii="Verdana" w:hAnsi="Verdana" w:cs="Calibri"/>
                <w:color w:val="000000"/>
                <w:sz w:val="14"/>
                <w:szCs w:val="14"/>
                <w:lang w:eastAsia="pl-PL"/>
              </w:rPr>
            </w:pPr>
            <w:r w:rsidRPr="000D62B3">
              <w:rPr>
                <w:rFonts w:ascii="Verdana" w:hAnsi="Verdana" w:cs="Calibri"/>
                <w:bCs/>
                <w:sz w:val="14"/>
                <w:szCs w:val="14"/>
              </w:rPr>
              <w:t xml:space="preserve">w przypadku pożyczek udzielanych na </w:t>
            </w:r>
            <w:r w:rsidRPr="000D62B3">
              <w:rPr>
                <w:rFonts w:ascii="Verdana" w:hAnsi="Verdana"/>
                <w:sz w:val="14"/>
                <w:szCs w:val="14"/>
              </w:rPr>
              <w:t xml:space="preserve">podstawie Rozporządzenia Ministra Funduszy i Polityki Regionalnej z dnia 14 kwietnia 2020 roku </w:t>
            </w:r>
            <w:r w:rsidR="008E2D39" w:rsidRPr="00F05B5F">
              <w:rPr>
                <w:rFonts w:ascii="Verdana" w:hAnsi="Verdana"/>
                <w:sz w:val="14"/>
                <w:szCs w:val="14"/>
              </w:rPr>
              <w:t>wraz z późniejszymi zmianami</w:t>
            </w:r>
            <w:r w:rsidR="008E2D39" w:rsidRPr="000D62B3">
              <w:rPr>
                <w:rFonts w:ascii="Verdana" w:hAnsi="Verdana"/>
                <w:sz w:val="14"/>
                <w:szCs w:val="14"/>
              </w:rPr>
              <w:t xml:space="preserve"> </w:t>
            </w:r>
            <w:r w:rsidRPr="000D62B3">
              <w:rPr>
                <w:rFonts w:ascii="Verdana" w:hAnsi="Verdana"/>
                <w:sz w:val="14"/>
                <w:szCs w:val="14"/>
              </w:rPr>
              <w:t>w sprawie udzielania pomocy z instrumentów finansowych w ramach programów operacyjnych na lata 2014-2020 w celu wspierania polskiej gospodarki w związku z wystąpieniem pandemii COVID-19</w:t>
            </w:r>
            <w:r w:rsidRPr="000D62B3">
              <w:rPr>
                <w:rFonts w:ascii="Verdana" w:hAnsi="Verdana" w:cs="Calibri"/>
                <w:bCs/>
                <w:sz w:val="14"/>
                <w:szCs w:val="14"/>
              </w:rPr>
              <w:t xml:space="preserve">, </w:t>
            </w:r>
            <w:r w:rsidRPr="000D62B3">
              <w:rPr>
                <w:rFonts w:ascii="Verdana" w:hAnsi="Verdana" w:cs="Calibri"/>
                <w:color w:val="000000"/>
                <w:sz w:val="14"/>
                <w:szCs w:val="14"/>
              </w:rPr>
              <w:t xml:space="preserve">wartość pożyczki oraz łącznie wszystkich pożyczek, jaką może otrzymać jeden Ostateczny Odbiorca nie może dodatkowo przekraczać: </w:t>
            </w:r>
          </w:p>
          <w:p w14:paraId="27202710" w14:textId="77777777" w:rsidR="00C66B55" w:rsidRPr="000D62B3" w:rsidRDefault="00C66B55" w:rsidP="00C66B55">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cs="Calibri"/>
                <w:color w:val="000000"/>
                <w:sz w:val="14"/>
                <w:szCs w:val="14"/>
              </w:rPr>
              <w:t>dwukrotności rocznych kosztów wynagrodzeń wypłaconych przez przedsiębiorcę oraz kosztów personelu pracującego na terenie jego przedsiębiorstwa, ale otrzymującego wynagrodzenie od podwykonawców, za rok 2019 lub za ostatni rok, za który dostępne są dane; w przypadku przedsiębiorstw utworzonych w dniu 1 stycznia 2019 roku lub po tym dniu maksymalna wartość pożyczki nie może przekroczyć rocznych kosztów wynagrodzeń szacowanych na okres pi</w:t>
            </w:r>
            <w:r w:rsidR="007A7558" w:rsidRPr="000D62B3">
              <w:rPr>
                <w:rFonts w:ascii="Verdana" w:hAnsi="Verdana" w:cs="Calibri"/>
                <w:color w:val="000000"/>
                <w:sz w:val="14"/>
                <w:szCs w:val="14"/>
              </w:rPr>
              <w:t>erwszych dwóch lat działalności</w:t>
            </w:r>
            <w:r w:rsidR="00120F5B" w:rsidRPr="000D62B3">
              <w:rPr>
                <w:rFonts w:ascii="Verdana" w:hAnsi="Verdana" w:cs="Calibri"/>
                <w:color w:val="000000"/>
                <w:sz w:val="14"/>
                <w:szCs w:val="14"/>
              </w:rPr>
              <w:t>;</w:t>
            </w:r>
            <w:r w:rsidRPr="000D62B3">
              <w:rPr>
                <w:rFonts w:ascii="Verdana" w:hAnsi="Verdana" w:cs="Calibri"/>
                <w:color w:val="000000"/>
                <w:sz w:val="14"/>
                <w:szCs w:val="14"/>
              </w:rPr>
              <w:t xml:space="preserve"> albo</w:t>
            </w:r>
          </w:p>
          <w:p w14:paraId="17874B8F" w14:textId="77777777" w:rsidR="00C66B55" w:rsidRPr="000D62B3" w:rsidRDefault="00C66B55" w:rsidP="00C66B55">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cs="Calibri"/>
                <w:color w:val="000000"/>
                <w:sz w:val="14"/>
                <w:szCs w:val="14"/>
              </w:rPr>
              <w:t xml:space="preserve">25% łącznego </w:t>
            </w:r>
            <w:r w:rsidR="007A7558" w:rsidRPr="000D62B3">
              <w:rPr>
                <w:rFonts w:ascii="Verdana" w:hAnsi="Verdana" w:cs="Calibri"/>
                <w:color w:val="000000"/>
                <w:sz w:val="14"/>
                <w:szCs w:val="14"/>
              </w:rPr>
              <w:t>obrotu przedsiębiorcy w 2019 roku</w:t>
            </w:r>
            <w:r w:rsidR="00120F5B" w:rsidRPr="000D62B3">
              <w:rPr>
                <w:rFonts w:ascii="Verdana" w:hAnsi="Verdana" w:cs="Calibri"/>
                <w:color w:val="000000"/>
                <w:sz w:val="14"/>
                <w:szCs w:val="14"/>
              </w:rPr>
              <w:t>;</w:t>
            </w:r>
            <w:r w:rsidRPr="000D62B3">
              <w:rPr>
                <w:rFonts w:ascii="Verdana" w:hAnsi="Verdana" w:cs="Calibri"/>
                <w:color w:val="000000"/>
                <w:sz w:val="14"/>
                <w:szCs w:val="14"/>
              </w:rPr>
              <w:t xml:space="preserve"> albo </w:t>
            </w:r>
          </w:p>
          <w:p w14:paraId="3C6A7003" w14:textId="77777777" w:rsidR="00C66B55" w:rsidRPr="000D62B3" w:rsidRDefault="00C66B55" w:rsidP="00C66B55">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cs="Calibri"/>
                <w:color w:val="000000"/>
                <w:sz w:val="14"/>
                <w:szCs w:val="14"/>
              </w:rPr>
              <w:t>jeżeli Ostateczny Odbiorca przedstawi odpowiednie uzasadnienie i w oparciu o oświadczenie Ostatecznego Odbiorcy                                 o zapotrzebowaniu na płynność, wartość pożyczki może zostać zwiększona do wartości odpowiadającej zapotrzebowaniu                 na płynność od dnia udzielenia pomocy przez najbliższe 18 miesięcy</w:t>
            </w:r>
            <w:r w:rsidR="00120F5B" w:rsidRPr="000D62B3">
              <w:rPr>
                <w:rFonts w:ascii="Verdana" w:hAnsi="Verdana" w:cs="Calibri"/>
                <w:color w:val="000000"/>
                <w:sz w:val="14"/>
                <w:szCs w:val="14"/>
              </w:rPr>
              <w:t>;</w:t>
            </w:r>
          </w:p>
          <w:p w14:paraId="5A57EC5E" w14:textId="0BDE9BA3" w:rsidR="00C66B55" w:rsidRPr="000D62B3" w:rsidRDefault="00C66B55" w:rsidP="007A7558">
            <w:pPr>
              <w:pStyle w:val="Akapitzlist"/>
              <w:numPr>
                <w:ilvl w:val="0"/>
                <w:numId w:val="10"/>
              </w:numPr>
              <w:tabs>
                <w:tab w:val="left" w:pos="460"/>
              </w:tabs>
              <w:autoSpaceDE w:val="0"/>
              <w:autoSpaceDN w:val="0"/>
              <w:adjustRightInd w:val="0"/>
              <w:spacing w:before="60"/>
              <w:ind w:left="460" w:hanging="284"/>
              <w:jc w:val="both"/>
              <w:rPr>
                <w:rFonts w:ascii="Verdana" w:eastAsiaTheme="minorEastAsia" w:hAnsi="Verdana" w:cs="Calibri"/>
                <w:color w:val="000000"/>
                <w:sz w:val="14"/>
                <w:szCs w:val="14"/>
                <w:lang w:eastAsia="pl-PL"/>
              </w:rPr>
            </w:pPr>
            <w:r w:rsidRPr="000D62B3">
              <w:rPr>
                <w:rFonts w:ascii="Verdana" w:hAnsi="Verdana"/>
                <w:sz w:val="14"/>
                <w:szCs w:val="14"/>
              </w:rPr>
              <w:t xml:space="preserve">w przypadku pożyczki, której termin zapadalności przypada najpóźniej w dniu </w:t>
            </w:r>
            <w:r w:rsidR="008E2D39" w:rsidRPr="00F05B5F">
              <w:rPr>
                <w:rFonts w:ascii="Verdana" w:hAnsi="Verdana"/>
                <w:sz w:val="14"/>
                <w:szCs w:val="14"/>
              </w:rPr>
              <w:t>30 czerwca 2021r</w:t>
            </w:r>
            <w:r w:rsidRPr="00F05B5F">
              <w:rPr>
                <w:rFonts w:ascii="Verdana" w:hAnsi="Verdana"/>
                <w:sz w:val="14"/>
                <w:szCs w:val="14"/>
              </w:rPr>
              <w:t>.,</w:t>
            </w:r>
            <w:r w:rsidRPr="000D62B3">
              <w:rPr>
                <w:rFonts w:ascii="Verdana" w:hAnsi="Verdana"/>
                <w:sz w:val="14"/>
                <w:szCs w:val="14"/>
              </w:rPr>
              <w:t xml:space="preserve"> wartość pożyczki może </w:t>
            </w:r>
            <w:r w:rsidR="007A7558" w:rsidRPr="000D62B3">
              <w:rPr>
                <w:rFonts w:ascii="Verdana" w:hAnsi="Verdana"/>
                <w:sz w:val="14"/>
                <w:szCs w:val="14"/>
              </w:rPr>
              <w:t xml:space="preserve">                  </w:t>
            </w:r>
            <w:r w:rsidRPr="000D62B3">
              <w:rPr>
                <w:rFonts w:ascii="Verdana" w:hAnsi="Verdana"/>
                <w:sz w:val="14"/>
                <w:szCs w:val="14"/>
              </w:rPr>
              <w:t>być wyższa niż wartość określona w lit. a) lub lit. b) powyżej, jeżeli przemawia za tym interes społeczny lub ważny interes przedsiębiorcy i pod warunkiem zachowania proporcjonalności pomocy</w:t>
            </w:r>
            <w:r w:rsidR="007A7558" w:rsidRPr="000D62B3">
              <w:rPr>
                <w:rFonts w:ascii="Verdana" w:hAnsi="Verdana"/>
                <w:sz w:val="14"/>
                <w:szCs w:val="14"/>
              </w:rPr>
              <w:t>.</w:t>
            </w:r>
          </w:p>
        </w:tc>
      </w:tr>
      <w:tr w:rsidR="008779DF" w:rsidRPr="000D62B3" w14:paraId="760C2304" w14:textId="77777777" w:rsidTr="005F46FE">
        <w:trPr>
          <w:trHeight w:val="330"/>
        </w:trPr>
        <w:tc>
          <w:tcPr>
            <w:tcW w:w="9923" w:type="dxa"/>
            <w:shd w:val="clear" w:color="auto" w:fill="auto"/>
          </w:tcPr>
          <w:p w14:paraId="636E6FE7" w14:textId="77777777" w:rsidR="008779DF" w:rsidRPr="000D62B3" w:rsidRDefault="008779DF" w:rsidP="007A7558">
            <w:pPr>
              <w:pStyle w:val="Akapitzlist"/>
              <w:numPr>
                <w:ilvl w:val="0"/>
                <w:numId w:val="9"/>
              </w:numPr>
              <w:ind w:left="176" w:hanging="176"/>
              <w:jc w:val="both"/>
              <w:rPr>
                <w:rFonts w:ascii="Verdana" w:hAnsi="Verdana"/>
                <w:bCs/>
                <w:sz w:val="14"/>
                <w:szCs w:val="14"/>
              </w:rPr>
            </w:pPr>
            <w:r w:rsidRPr="000D62B3">
              <w:rPr>
                <w:rFonts w:ascii="Verdana" w:hAnsi="Verdana"/>
                <w:bCs/>
                <w:sz w:val="14"/>
                <w:szCs w:val="14"/>
              </w:rPr>
              <w:t xml:space="preserve">ograniczenie to nie dotyczy pożyczek </w:t>
            </w:r>
            <w:r w:rsidRPr="000D62B3">
              <w:rPr>
                <w:rFonts w:ascii="Verdana" w:hAnsi="Verdana"/>
                <w:sz w:val="14"/>
                <w:szCs w:val="14"/>
              </w:rPr>
              <w:t xml:space="preserve">przeznaczonych na finansowanie bieżącej działalności przedsiębiorstwa, w tym jego kapitału obrotowego, wyłącznie w przypadku: </w:t>
            </w:r>
          </w:p>
          <w:p w14:paraId="1EC7DF71" w14:textId="77777777" w:rsidR="008779DF" w:rsidRPr="000D62B3" w:rsidRDefault="00BB18FE" w:rsidP="008779DF">
            <w:pPr>
              <w:pStyle w:val="Default"/>
              <w:numPr>
                <w:ilvl w:val="0"/>
                <w:numId w:val="8"/>
              </w:numPr>
              <w:ind w:left="460" w:hanging="284"/>
              <w:jc w:val="both"/>
              <w:rPr>
                <w:rFonts w:ascii="Verdana" w:hAnsi="Verdana"/>
                <w:color w:val="auto"/>
                <w:sz w:val="14"/>
                <w:szCs w:val="14"/>
              </w:rPr>
            </w:pPr>
            <w:r w:rsidRPr="000D62B3">
              <w:rPr>
                <w:rFonts w:ascii="Verdana" w:hAnsi="Verdana"/>
                <w:color w:val="auto"/>
                <w:sz w:val="14"/>
                <w:szCs w:val="14"/>
              </w:rPr>
              <w:t xml:space="preserve">przedsiębiorstw </w:t>
            </w:r>
            <w:r w:rsidR="008779DF" w:rsidRPr="000D62B3">
              <w:rPr>
                <w:rFonts w:ascii="Verdana" w:hAnsi="Verdana"/>
                <w:color w:val="auto"/>
                <w:sz w:val="14"/>
                <w:szCs w:val="14"/>
              </w:rPr>
              <w:t xml:space="preserve">dotkniętych negatywnymi skutkami epidemii COVID-19 – w celu zachowania płynności finansowej lub kontynuacji działalności przedsiębiorstwa; </w:t>
            </w:r>
          </w:p>
          <w:p w14:paraId="74D3A274" w14:textId="00D1EBDD" w:rsidR="008779DF" w:rsidRPr="000D62B3" w:rsidRDefault="00BB18FE" w:rsidP="008779DF">
            <w:pPr>
              <w:pStyle w:val="Default"/>
              <w:numPr>
                <w:ilvl w:val="0"/>
                <w:numId w:val="8"/>
              </w:numPr>
              <w:ind w:left="460" w:hanging="284"/>
              <w:jc w:val="both"/>
              <w:rPr>
                <w:rFonts w:ascii="Verdana" w:hAnsi="Verdana"/>
                <w:color w:val="auto"/>
                <w:sz w:val="14"/>
                <w:szCs w:val="14"/>
              </w:rPr>
            </w:pPr>
            <w:r w:rsidRPr="000D62B3">
              <w:rPr>
                <w:rFonts w:ascii="Verdana" w:hAnsi="Verdana"/>
                <w:color w:val="auto"/>
                <w:sz w:val="14"/>
                <w:szCs w:val="14"/>
              </w:rPr>
              <w:t>przedsiębiorstw</w:t>
            </w:r>
            <w:r w:rsidR="008779DF" w:rsidRPr="000D62B3">
              <w:rPr>
                <w:rFonts w:ascii="Verdana" w:hAnsi="Verdana"/>
                <w:color w:val="auto"/>
                <w:sz w:val="14"/>
                <w:szCs w:val="14"/>
              </w:rPr>
              <w:t xml:space="preserve"> realizujących przedsięwzięcia przyczyniające się do przeciwdziałania epidemii COVID-19 – w celu realizacji </w:t>
            </w:r>
            <w:r w:rsidR="00BF5CB9">
              <w:rPr>
                <w:rFonts w:ascii="Verdana" w:hAnsi="Verdana"/>
                <w:color w:val="auto"/>
                <w:sz w:val="14"/>
                <w:szCs w:val="14"/>
              </w:rPr>
              <w:t xml:space="preserve">                 </w:t>
            </w:r>
            <w:r w:rsidR="008779DF" w:rsidRPr="000D62B3">
              <w:rPr>
                <w:rFonts w:ascii="Verdana" w:hAnsi="Verdana"/>
                <w:color w:val="auto"/>
                <w:sz w:val="14"/>
                <w:szCs w:val="14"/>
              </w:rPr>
              <w:t>tych przedsięwzięć.</w:t>
            </w:r>
          </w:p>
        </w:tc>
      </w:tr>
      <w:tr w:rsidR="00084639" w:rsidRPr="000D62B3" w14:paraId="14CF59EB" w14:textId="77777777" w:rsidTr="005F46FE">
        <w:trPr>
          <w:trHeight w:val="330"/>
        </w:trPr>
        <w:tc>
          <w:tcPr>
            <w:tcW w:w="9923" w:type="dxa"/>
            <w:shd w:val="clear" w:color="auto" w:fill="auto"/>
            <w:hideMark/>
          </w:tcPr>
          <w:p w14:paraId="4AA8396D" w14:textId="33039FDB" w:rsidR="00D060A9" w:rsidRPr="00F05B5F" w:rsidRDefault="007A7558" w:rsidP="00DA4FBD">
            <w:pPr>
              <w:pStyle w:val="Akapitzlist"/>
              <w:numPr>
                <w:ilvl w:val="0"/>
                <w:numId w:val="9"/>
              </w:numPr>
              <w:spacing w:after="120"/>
              <w:ind w:left="176" w:hanging="176"/>
              <w:contextualSpacing w:val="0"/>
              <w:jc w:val="both"/>
              <w:rPr>
                <w:rFonts w:ascii="Verdana" w:hAnsi="Verdana"/>
                <w:bCs/>
                <w:sz w:val="14"/>
                <w:szCs w:val="14"/>
              </w:rPr>
            </w:pPr>
            <w:r w:rsidRPr="00F05B5F">
              <w:rPr>
                <w:rFonts w:ascii="Verdana" w:hAnsi="Verdana"/>
                <w:bCs/>
                <w:sz w:val="14"/>
                <w:szCs w:val="14"/>
              </w:rPr>
              <w:t>dotyczy</w:t>
            </w:r>
            <w:r w:rsidR="00D060A9" w:rsidRPr="00F05B5F">
              <w:rPr>
                <w:rFonts w:ascii="Verdana" w:hAnsi="Verdana"/>
                <w:bCs/>
                <w:sz w:val="14"/>
                <w:szCs w:val="14"/>
              </w:rPr>
              <w:t xml:space="preserve"> </w:t>
            </w:r>
            <w:r w:rsidR="00C66B55" w:rsidRPr="00F05B5F">
              <w:rPr>
                <w:rFonts w:ascii="Verdana" w:hAnsi="Verdana"/>
                <w:bCs/>
                <w:sz w:val="14"/>
                <w:szCs w:val="14"/>
              </w:rPr>
              <w:t xml:space="preserve">pożyczek udzielonych </w:t>
            </w:r>
            <w:r w:rsidR="009778C1" w:rsidRPr="00F05B5F">
              <w:rPr>
                <w:rFonts w:ascii="Verdana" w:hAnsi="Verdana"/>
                <w:bCs/>
                <w:sz w:val="14"/>
                <w:szCs w:val="14"/>
              </w:rPr>
              <w:t xml:space="preserve">na zasadach de </w:t>
            </w:r>
            <w:proofErr w:type="spellStart"/>
            <w:r w:rsidR="009778C1" w:rsidRPr="00F05B5F">
              <w:rPr>
                <w:rFonts w:ascii="Verdana" w:hAnsi="Verdana"/>
                <w:bCs/>
                <w:sz w:val="14"/>
                <w:szCs w:val="14"/>
              </w:rPr>
              <w:t>minimis</w:t>
            </w:r>
            <w:proofErr w:type="spellEnd"/>
            <w:r w:rsidRPr="00F05B5F">
              <w:rPr>
                <w:rFonts w:ascii="Verdana" w:hAnsi="Verdana"/>
                <w:bCs/>
                <w:sz w:val="14"/>
                <w:szCs w:val="14"/>
              </w:rPr>
              <w:t xml:space="preserve">, w przypadku których oprocentowanie jest </w:t>
            </w:r>
            <w:r w:rsidR="00D060A9" w:rsidRPr="00F05B5F">
              <w:rPr>
                <w:rFonts w:ascii="Verdana" w:hAnsi="Verdana"/>
                <w:sz w:val="14"/>
                <w:szCs w:val="14"/>
              </w:rPr>
              <w:t>równe wysokości stopy referencyjnej obliczonej dla danego MŚP (</w:t>
            </w:r>
            <w:r w:rsidR="00D060A9" w:rsidRPr="00F05B5F">
              <w:rPr>
                <w:rFonts w:ascii="Verdana" w:hAnsi="Verdana"/>
                <w:bCs/>
                <w:sz w:val="14"/>
                <w:szCs w:val="14"/>
              </w:rPr>
              <w:t>w zależności od sytuacji ekonomiczno - finansowej oraz proponowanego zabezpieczenia)</w:t>
            </w:r>
            <w:r w:rsidR="00D060A9" w:rsidRPr="00F05B5F">
              <w:rPr>
                <w:rFonts w:ascii="Verdana" w:hAnsi="Verdana"/>
                <w:sz w:val="14"/>
                <w:szCs w:val="14"/>
              </w:rPr>
              <w:t xml:space="preserve">, </w:t>
            </w:r>
            <w:r w:rsidR="00D060A9" w:rsidRPr="00F05B5F">
              <w:rPr>
                <w:rFonts w:ascii="Verdana" w:hAnsi="Verdana"/>
                <w:sz w:val="14"/>
                <w:szCs w:val="14"/>
              </w:rPr>
              <w:lastRenderedPageBreak/>
              <w:t xml:space="preserve">pomniejszonej o 1 punkt procentowy, </w:t>
            </w:r>
            <w:r w:rsidRPr="00F05B5F">
              <w:rPr>
                <w:rFonts w:ascii="Verdana" w:hAnsi="Verdana"/>
                <w:sz w:val="14"/>
                <w:szCs w:val="14"/>
              </w:rPr>
              <w:t>a</w:t>
            </w:r>
            <w:r w:rsidR="00D060A9" w:rsidRPr="00F05B5F">
              <w:rPr>
                <w:rFonts w:ascii="Verdana" w:hAnsi="Verdana"/>
                <w:sz w:val="14"/>
                <w:szCs w:val="14"/>
              </w:rPr>
              <w:t xml:space="preserve">le nie niższe niż wysokość stopy bazowej z dnia zawarcia umowy pożyczki w przypadku inwestycji w </w:t>
            </w:r>
            <w:r w:rsidR="00D060A9" w:rsidRPr="00F05B5F">
              <w:rPr>
                <w:rFonts w:ascii="Verdana" w:hAnsi="Verdana"/>
                <w:bCs/>
                <w:sz w:val="14"/>
                <w:szCs w:val="14"/>
              </w:rPr>
              <w:t xml:space="preserve">przedsięwzięcia w ramach inteligentnych specjalizacji w kontekście Regionalnej Strategii Innowacji dla Wielkopolski </w:t>
            </w:r>
            <w:r w:rsidRPr="00F05B5F">
              <w:rPr>
                <w:rFonts w:ascii="Verdana" w:hAnsi="Verdana"/>
                <w:bCs/>
                <w:sz w:val="14"/>
                <w:szCs w:val="14"/>
              </w:rPr>
              <w:t xml:space="preserve">                </w:t>
            </w:r>
            <w:r w:rsidR="00D060A9" w:rsidRPr="00F05B5F">
              <w:rPr>
                <w:rFonts w:ascii="Verdana" w:hAnsi="Verdana"/>
                <w:bCs/>
                <w:sz w:val="14"/>
                <w:szCs w:val="14"/>
              </w:rPr>
              <w:t>na lata 2015-2020 i/lub inwestycji w Start-</w:t>
            </w:r>
            <w:proofErr w:type="spellStart"/>
            <w:r w:rsidR="00D060A9" w:rsidRPr="00F05B5F">
              <w:rPr>
                <w:rFonts w:ascii="Verdana" w:hAnsi="Verdana"/>
                <w:bCs/>
                <w:sz w:val="14"/>
                <w:szCs w:val="14"/>
              </w:rPr>
              <w:t>up’y</w:t>
            </w:r>
            <w:proofErr w:type="spellEnd"/>
            <w:r w:rsidR="00D060A9" w:rsidRPr="00F05B5F">
              <w:rPr>
                <w:rFonts w:ascii="Verdana" w:hAnsi="Verdana"/>
                <w:bCs/>
                <w:sz w:val="14"/>
                <w:szCs w:val="14"/>
              </w:rPr>
              <w:t xml:space="preserve"> i/lub inwestycji</w:t>
            </w:r>
            <w:r w:rsidR="009778C1" w:rsidRPr="00F05B5F">
              <w:rPr>
                <w:rFonts w:ascii="Verdana" w:hAnsi="Verdana"/>
                <w:bCs/>
                <w:sz w:val="14"/>
                <w:szCs w:val="14"/>
              </w:rPr>
              <w:t xml:space="preserve"> w</w:t>
            </w:r>
            <w:r w:rsidR="00D060A9" w:rsidRPr="00F05B5F">
              <w:rPr>
                <w:rFonts w:ascii="Verdana" w:hAnsi="Verdana"/>
                <w:bCs/>
                <w:sz w:val="14"/>
                <w:szCs w:val="14"/>
              </w:rPr>
              <w:t xml:space="preserve"> Mikroprzedsiębiorstwa i/lub inwestycji w przedsięwzięcia realizowane w ramach Wiejskich obszarów funkcjonalnych wymagających wsparcia procesów rozwojowych w województwie wielkopolskim</w:t>
            </w:r>
            <w:r w:rsidRPr="00F05B5F">
              <w:rPr>
                <w:rFonts w:ascii="Verdana" w:hAnsi="Verdana"/>
                <w:bCs/>
                <w:sz w:val="14"/>
                <w:szCs w:val="14"/>
              </w:rPr>
              <w:t xml:space="preserve">                </w:t>
            </w:r>
            <w:r w:rsidR="00795D13" w:rsidRPr="00F05B5F">
              <w:rPr>
                <w:rFonts w:ascii="Verdana" w:hAnsi="Verdana"/>
                <w:bCs/>
                <w:sz w:val="14"/>
                <w:szCs w:val="14"/>
              </w:rPr>
              <w:t xml:space="preserve"> i/lub</w:t>
            </w:r>
            <w:r w:rsidR="00D060A9" w:rsidRPr="00F05B5F">
              <w:rPr>
                <w:rFonts w:ascii="Verdana" w:hAnsi="Verdana"/>
                <w:bCs/>
                <w:sz w:val="14"/>
                <w:szCs w:val="14"/>
              </w:rPr>
              <w:t xml:space="preserve"> </w:t>
            </w:r>
            <w:r w:rsidR="00795D13" w:rsidRPr="00F05B5F">
              <w:rPr>
                <w:rFonts w:ascii="Verdana" w:hAnsi="Verdana" w:cs="Calibri"/>
                <w:color w:val="000000"/>
                <w:sz w:val="14"/>
                <w:szCs w:val="14"/>
              </w:rPr>
              <w:t>przedsięwzięć przyczyniających się do</w:t>
            </w:r>
            <w:r w:rsidR="009778C1" w:rsidRPr="00F05B5F">
              <w:rPr>
                <w:rFonts w:ascii="Verdana" w:hAnsi="Verdana" w:cs="Calibri"/>
                <w:color w:val="000000"/>
                <w:sz w:val="14"/>
                <w:szCs w:val="14"/>
              </w:rPr>
              <w:t xml:space="preserve"> </w:t>
            </w:r>
            <w:r w:rsidR="00795D13" w:rsidRPr="00F05B5F">
              <w:rPr>
                <w:rFonts w:ascii="Verdana" w:hAnsi="Verdana" w:cs="Calibri"/>
                <w:color w:val="000000"/>
                <w:sz w:val="14"/>
                <w:szCs w:val="14"/>
              </w:rPr>
              <w:t xml:space="preserve">przeciwdziałania epidemii COVID-19 celem </w:t>
            </w:r>
            <w:r w:rsidR="009778C1" w:rsidRPr="00F05B5F">
              <w:rPr>
                <w:rFonts w:ascii="Verdana" w:hAnsi="Verdana" w:cs="Calibri"/>
                <w:color w:val="000000"/>
                <w:sz w:val="14"/>
                <w:szCs w:val="14"/>
              </w:rPr>
              <w:t xml:space="preserve">ich realizacji i/lub </w:t>
            </w:r>
            <w:r w:rsidR="00C66B55" w:rsidRPr="00F05B5F">
              <w:rPr>
                <w:rFonts w:ascii="Verdana" w:hAnsi="Verdana" w:cs="Calibri"/>
                <w:color w:val="000000"/>
                <w:sz w:val="14"/>
                <w:szCs w:val="14"/>
              </w:rPr>
              <w:t xml:space="preserve">celem </w:t>
            </w:r>
            <w:r w:rsidR="00795D13" w:rsidRPr="00F05B5F">
              <w:rPr>
                <w:rFonts w:ascii="Verdana" w:hAnsi="Verdana" w:cs="Calibri"/>
                <w:color w:val="000000"/>
                <w:sz w:val="14"/>
                <w:szCs w:val="14"/>
              </w:rPr>
              <w:t>zachowania płynności finansowej lub kontynuacji działalności przedsiębiorstw</w:t>
            </w:r>
            <w:r w:rsidR="009778C1" w:rsidRPr="00F05B5F">
              <w:rPr>
                <w:rFonts w:ascii="Verdana" w:hAnsi="Verdana" w:cs="Calibri"/>
                <w:color w:val="000000"/>
                <w:sz w:val="14"/>
                <w:szCs w:val="14"/>
              </w:rPr>
              <w:t xml:space="preserve"> dotkniętych skutkami COVID-19, </w:t>
            </w:r>
            <w:r w:rsidR="00D060A9" w:rsidRPr="00F05B5F">
              <w:rPr>
                <w:rFonts w:ascii="Verdana" w:hAnsi="Verdana"/>
                <w:bCs/>
                <w:sz w:val="14"/>
                <w:szCs w:val="14"/>
              </w:rPr>
              <w:t>z zastrzeżeniem oprocentowania pożyczki udzielonej MŚP w fazie start-</w:t>
            </w:r>
            <w:proofErr w:type="spellStart"/>
            <w:r w:rsidR="00D060A9" w:rsidRPr="00F05B5F">
              <w:rPr>
                <w:rFonts w:ascii="Verdana" w:hAnsi="Verdana"/>
                <w:bCs/>
                <w:sz w:val="14"/>
                <w:szCs w:val="14"/>
              </w:rPr>
              <w:t>up</w:t>
            </w:r>
            <w:proofErr w:type="spellEnd"/>
            <w:r w:rsidR="00D060A9" w:rsidRPr="00F05B5F">
              <w:rPr>
                <w:rFonts w:ascii="Verdana" w:hAnsi="Verdana"/>
                <w:bCs/>
                <w:sz w:val="14"/>
                <w:szCs w:val="14"/>
              </w:rPr>
              <w:t>, równego wysokości stopy bazowej z dnia zawarcia umowy pożyczki.</w:t>
            </w:r>
          </w:p>
          <w:p w14:paraId="32AFF6DF" w14:textId="10521F88" w:rsidR="007A7558" w:rsidRPr="00F05B5F" w:rsidRDefault="007A7558" w:rsidP="007548B2">
            <w:pPr>
              <w:pStyle w:val="Akapitzlist"/>
              <w:spacing w:after="120"/>
              <w:ind w:left="176"/>
              <w:contextualSpacing w:val="0"/>
              <w:jc w:val="both"/>
              <w:rPr>
                <w:rFonts w:ascii="Verdana" w:hAnsi="Verdana"/>
                <w:bCs/>
                <w:sz w:val="14"/>
                <w:szCs w:val="14"/>
              </w:rPr>
            </w:pPr>
            <w:r w:rsidRPr="00F05B5F">
              <w:rPr>
                <w:rFonts w:ascii="Verdana" w:hAnsi="Verdana" w:cs="Calibri"/>
                <w:sz w:val="14"/>
                <w:szCs w:val="14"/>
              </w:rPr>
              <w:t xml:space="preserve">W przypadku pożyczek </w:t>
            </w:r>
            <w:r w:rsidRPr="00F05B5F">
              <w:rPr>
                <w:rFonts w:ascii="Verdana" w:hAnsi="Verdana" w:cs="Calibri"/>
                <w:bCs/>
                <w:sz w:val="14"/>
                <w:szCs w:val="14"/>
              </w:rPr>
              <w:t xml:space="preserve">udzielanych na </w:t>
            </w:r>
            <w:r w:rsidRPr="00F05B5F">
              <w:rPr>
                <w:rFonts w:ascii="Verdana" w:hAnsi="Verdana"/>
                <w:sz w:val="14"/>
                <w:szCs w:val="14"/>
              </w:rPr>
              <w:t xml:space="preserve">podstawie Rozporządzenia Ministra Funduszy i Polityki Regionalnej z dnia 14 kwietnia 2020 roku </w:t>
            </w:r>
            <w:r w:rsidR="00D9679B" w:rsidRPr="00F05B5F">
              <w:rPr>
                <w:rFonts w:ascii="Verdana" w:hAnsi="Verdana"/>
                <w:sz w:val="14"/>
                <w:szCs w:val="14"/>
              </w:rPr>
              <w:t xml:space="preserve">wraz z późniejszymi zmianami </w:t>
            </w:r>
            <w:r w:rsidRPr="00F05B5F">
              <w:rPr>
                <w:rFonts w:ascii="Verdana" w:hAnsi="Verdana"/>
                <w:sz w:val="14"/>
                <w:szCs w:val="14"/>
              </w:rPr>
              <w:t xml:space="preserve">w sprawie udzielania pomocy z instrumentów finansowych w ramach programów operacyjnych </w:t>
            </w:r>
            <w:r w:rsidR="00D9679B" w:rsidRPr="00F05B5F">
              <w:rPr>
                <w:rFonts w:ascii="Verdana" w:hAnsi="Verdana"/>
                <w:sz w:val="14"/>
                <w:szCs w:val="14"/>
              </w:rPr>
              <w:t xml:space="preserve">             </w:t>
            </w:r>
            <w:r w:rsidRPr="00F05B5F">
              <w:rPr>
                <w:rFonts w:ascii="Verdana" w:hAnsi="Verdana"/>
                <w:sz w:val="14"/>
                <w:szCs w:val="14"/>
              </w:rPr>
              <w:t>na lata 2014-2020 w celu wspierania polskiej gospodarki w związku z wystąpieniem pandemii COVID-19</w:t>
            </w:r>
            <w:r w:rsidRPr="00F05B5F">
              <w:rPr>
                <w:rFonts w:ascii="Verdana" w:hAnsi="Verdana" w:cs="Calibri"/>
                <w:sz w:val="14"/>
                <w:szCs w:val="14"/>
              </w:rPr>
              <w:t xml:space="preserve">, oprocentowanie jest </w:t>
            </w:r>
            <w:r w:rsidRPr="00F05B5F">
              <w:rPr>
                <w:rFonts w:ascii="Verdana" w:hAnsi="Verdana" w:cs="Calibri"/>
                <w:color w:val="000000"/>
                <w:sz w:val="14"/>
                <w:szCs w:val="14"/>
                <w:lang w:eastAsia="pl-PL"/>
              </w:rPr>
              <w:t xml:space="preserve">równe </w:t>
            </w:r>
            <w:r w:rsidRPr="00F05B5F">
              <w:rPr>
                <w:rFonts w:ascii="Verdana" w:hAnsi="Verdana"/>
                <w:sz w:val="14"/>
                <w:szCs w:val="14"/>
              </w:rPr>
              <w:t xml:space="preserve">stopie bazowej ogłaszanej przez Komisję Europejską, obowiązującej na dzień </w:t>
            </w:r>
            <w:r w:rsidR="00D9679B" w:rsidRPr="00F05B5F">
              <w:rPr>
                <w:rFonts w:ascii="Verdana" w:hAnsi="Verdana"/>
                <w:sz w:val="14"/>
                <w:szCs w:val="14"/>
              </w:rPr>
              <w:t>1 października 2020 roku (0,29%)</w:t>
            </w:r>
            <w:r w:rsidRPr="00F05B5F">
              <w:rPr>
                <w:rFonts w:ascii="Verdana" w:hAnsi="Verdana"/>
                <w:sz w:val="14"/>
                <w:szCs w:val="14"/>
              </w:rPr>
              <w:t xml:space="preserve">, powiększonej </w:t>
            </w:r>
            <w:r w:rsidR="00BF5CB9" w:rsidRPr="00F05B5F">
              <w:rPr>
                <w:rFonts w:ascii="Verdana" w:hAnsi="Verdana"/>
                <w:sz w:val="14"/>
                <w:szCs w:val="14"/>
              </w:rPr>
              <w:t xml:space="preserve">                  </w:t>
            </w:r>
            <w:r w:rsidRPr="00F05B5F">
              <w:rPr>
                <w:rFonts w:ascii="Verdana" w:hAnsi="Verdana"/>
                <w:sz w:val="14"/>
                <w:szCs w:val="14"/>
              </w:rPr>
              <w:t xml:space="preserve">o marżę ryzyka kredytowego wynoszącej 25 punktów bazowych w przypadku pożyczki z terminem zapadalności wynoszącym 1 rok, </w:t>
            </w:r>
            <w:r w:rsidR="00D9679B" w:rsidRPr="00F05B5F">
              <w:rPr>
                <w:rFonts w:ascii="Verdana" w:hAnsi="Verdana"/>
                <w:sz w:val="14"/>
                <w:szCs w:val="14"/>
              </w:rPr>
              <w:t xml:space="preserve">                </w:t>
            </w:r>
            <w:r w:rsidRPr="00F05B5F">
              <w:rPr>
                <w:rFonts w:ascii="Verdana" w:hAnsi="Verdana"/>
                <w:sz w:val="14"/>
                <w:szCs w:val="14"/>
              </w:rPr>
              <w:t>50 punktów bazowych</w:t>
            </w:r>
            <w:r w:rsidR="00D9679B" w:rsidRPr="00F05B5F">
              <w:rPr>
                <w:rFonts w:ascii="Verdana" w:hAnsi="Verdana"/>
                <w:sz w:val="14"/>
                <w:szCs w:val="14"/>
              </w:rPr>
              <w:t xml:space="preserve"> </w:t>
            </w:r>
            <w:r w:rsidRPr="00F05B5F">
              <w:rPr>
                <w:rFonts w:ascii="Verdana" w:hAnsi="Verdana"/>
                <w:sz w:val="14"/>
                <w:szCs w:val="14"/>
              </w:rPr>
              <w:t>w przypadku pożyczki z terminem zapadalności wynoszącym 2–3 lata, 100 punktów bazowych w przypadku pożyczki z terminem zapadalności wynoszącym 4–6 lat.</w:t>
            </w:r>
          </w:p>
          <w:p w14:paraId="239E8E8C" w14:textId="45009496" w:rsidR="00FF5960" w:rsidRPr="00F05B5F" w:rsidRDefault="007A7558" w:rsidP="00F5095B">
            <w:pPr>
              <w:pStyle w:val="Akapitzlist"/>
              <w:ind w:left="176"/>
              <w:jc w:val="both"/>
              <w:rPr>
                <w:rFonts w:ascii="Verdana" w:hAnsi="Verdana"/>
                <w:bCs/>
                <w:sz w:val="14"/>
                <w:szCs w:val="14"/>
              </w:rPr>
            </w:pPr>
            <w:r w:rsidRPr="00F05B5F">
              <w:rPr>
                <w:rFonts w:ascii="Verdana" w:hAnsi="Verdana" w:cs="Calibri"/>
                <w:sz w:val="14"/>
                <w:szCs w:val="14"/>
              </w:rPr>
              <w:t xml:space="preserve">W przypadku pożyczek udzielanych na warunkach rynkowych, oprocentowanie jest równe stopie referencyjnej obliczanej                       przy zastosowaniu obowiązującej stopy bazowej oraz marży ustalonej w oparciu o Komunikat Komisji Europejskiej w sprawie zmiany metody ustalania stóp referencyjnych i dyskontowych (Dz. Urz. UE 2008/C14/02 lub komunikat zastępujący), </w:t>
            </w:r>
            <w:r w:rsidR="00D060A9" w:rsidRPr="00F05B5F">
              <w:rPr>
                <w:rFonts w:ascii="Verdana" w:hAnsi="Verdana"/>
                <w:bCs/>
                <w:sz w:val="14"/>
                <w:szCs w:val="14"/>
              </w:rPr>
              <w:t xml:space="preserve">oprocentowanie minimalne od </w:t>
            </w:r>
            <w:r w:rsidR="00D9679B" w:rsidRPr="00F05B5F">
              <w:rPr>
                <w:rFonts w:ascii="Verdana" w:hAnsi="Verdana"/>
                <w:bCs/>
                <w:sz w:val="14"/>
                <w:szCs w:val="14"/>
              </w:rPr>
              <w:t>0,75%</w:t>
            </w:r>
            <w:r w:rsidR="00FF5960" w:rsidRPr="00F05B5F">
              <w:rPr>
                <w:rFonts w:ascii="Verdana" w:hAnsi="Verdana"/>
                <w:bCs/>
                <w:sz w:val="14"/>
                <w:szCs w:val="14"/>
              </w:rPr>
              <w:t xml:space="preserve">.                                                                                                                                                                                                        </w:t>
            </w:r>
          </w:p>
        </w:tc>
      </w:tr>
      <w:tr w:rsidR="001425DA" w:rsidRPr="000D62B3" w14:paraId="6B65D2E8" w14:textId="77777777" w:rsidTr="005F46FE">
        <w:trPr>
          <w:trHeight w:val="234"/>
        </w:trPr>
        <w:tc>
          <w:tcPr>
            <w:tcW w:w="9923" w:type="dxa"/>
            <w:shd w:val="clear" w:color="auto" w:fill="auto"/>
          </w:tcPr>
          <w:p w14:paraId="71B943AA" w14:textId="28E5E4EB" w:rsidR="001425DA" w:rsidRPr="00F05B5F" w:rsidRDefault="00D9679B" w:rsidP="00477EE3">
            <w:pPr>
              <w:pStyle w:val="Akapitzlist"/>
              <w:numPr>
                <w:ilvl w:val="0"/>
                <w:numId w:val="9"/>
              </w:numPr>
              <w:ind w:left="176" w:hanging="176"/>
              <w:jc w:val="both"/>
              <w:rPr>
                <w:rFonts w:ascii="Verdana" w:hAnsi="Verdana"/>
                <w:sz w:val="14"/>
                <w:szCs w:val="14"/>
              </w:rPr>
            </w:pPr>
            <w:r w:rsidRPr="00F05B5F">
              <w:rPr>
                <w:rFonts w:ascii="Verdana" w:eastAsia="Times New Roman" w:hAnsi="Verdana" w:cs="Times New Roman"/>
                <w:sz w:val="14"/>
                <w:szCs w:val="14"/>
                <w:lang w:eastAsia="pl-PL"/>
              </w:rPr>
              <w:lastRenderedPageBreak/>
              <w:t>w przypadku przedsiębiorstw dotkniętych negatywnymi skutkami epidemii COVID-19 okres spłaty pożyczki może zostać przedłużony     o nie więcej niż 18 miesięcy, z zastrzeżeniem, że wydłużenie okresu spłaty w związku z karencją dodatkową lub wakacjami kredytowymi wlicza się w limit 18 miesięcy, o którym mowa powyżej</w:t>
            </w:r>
            <w:r w:rsidR="00477EE3" w:rsidRPr="00F05B5F">
              <w:rPr>
                <w:rFonts w:ascii="Verdana" w:hAnsi="Verdana"/>
                <w:sz w:val="14"/>
                <w:szCs w:val="14"/>
              </w:rPr>
              <w:t>.</w:t>
            </w:r>
          </w:p>
        </w:tc>
      </w:tr>
      <w:tr w:rsidR="00FD6B91" w:rsidRPr="000D62B3" w14:paraId="3CBEDD20" w14:textId="77777777" w:rsidTr="005F46FE">
        <w:trPr>
          <w:trHeight w:val="234"/>
        </w:trPr>
        <w:tc>
          <w:tcPr>
            <w:tcW w:w="9923" w:type="dxa"/>
            <w:shd w:val="clear" w:color="auto" w:fill="auto"/>
          </w:tcPr>
          <w:p w14:paraId="3C58FBC1" w14:textId="77777777" w:rsidR="00FD6B91" w:rsidRPr="000D62B3" w:rsidRDefault="00FD6B91" w:rsidP="00120F5B">
            <w:pPr>
              <w:pStyle w:val="Akapitzlist"/>
              <w:numPr>
                <w:ilvl w:val="0"/>
                <w:numId w:val="9"/>
              </w:numPr>
              <w:ind w:left="176" w:hanging="176"/>
              <w:jc w:val="both"/>
              <w:rPr>
                <w:rFonts w:ascii="Verdana" w:hAnsi="Verdana"/>
                <w:bCs/>
                <w:sz w:val="14"/>
                <w:szCs w:val="14"/>
                <w:vertAlign w:val="superscript"/>
              </w:rPr>
            </w:pPr>
            <w:r w:rsidRPr="000D62B3">
              <w:rPr>
                <w:rFonts w:ascii="Verdana" w:hAnsi="Verdana"/>
                <w:sz w:val="14"/>
                <w:szCs w:val="14"/>
              </w:rPr>
              <w:t xml:space="preserve">maksymalny termin na wypłatę całkowitej kwoty pożyczki </w:t>
            </w:r>
            <w:r w:rsidR="00687A43" w:rsidRPr="000D62B3">
              <w:rPr>
                <w:rFonts w:ascii="Verdana" w:hAnsi="Verdana"/>
                <w:sz w:val="14"/>
                <w:szCs w:val="14"/>
              </w:rPr>
              <w:t xml:space="preserve">wynosi, co do zasady, </w:t>
            </w:r>
            <w:r w:rsidRPr="000D62B3">
              <w:rPr>
                <w:rFonts w:ascii="Verdana" w:hAnsi="Verdana"/>
                <w:sz w:val="14"/>
                <w:szCs w:val="14"/>
              </w:rPr>
              <w:t>180 dni kalendarzowych od dnia jej zawarcia</w:t>
            </w:r>
            <w:r w:rsidR="00CE2B03" w:rsidRPr="000D62B3">
              <w:rPr>
                <w:rFonts w:ascii="Verdana" w:hAnsi="Verdana"/>
                <w:sz w:val="14"/>
                <w:szCs w:val="14"/>
              </w:rPr>
              <w:t>,                 a jeżeli na realizację danej Inwestycji negatywny wpływ ma epidemia COVID-19 – 270 dni</w:t>
            </w:r>
            <w:r w:rsidRPr="000D62B3">
              <w:rPr>
                <w:rFonts w:ascii="Verdana" w:hAnsi="Verdana"/>
                <w:sz w:val="14"/>
                <w:szCs w:val="14"/>
              </w:rPr>
              <w:t>.</w:t>
            </w:r>
          </w:p>
        </w:tc>
      </w:tr>
      <w:tr w:rsidR="00084639" w:rsidRPr="000D62B3" w14:paraId="497CFA10" w14:textId="77777777" w:rsidTr="005F46FE">
        <w:trPr>
          <w:trHeight w:val="262"/>
        </w:trPr>
        <w:tc>
          <w:tcPr>
            <w:tcW w:w="9923" w:type="dxa"/>
            <w:shd w:val="clear" w:color="auto" w:fill="auto"/>
            <w:hideMark/>
          </w:tcPr>
          <w:p w14:paraId="0135EF71" w14:textId="36B1A774" w:rsidR="00D232F2" w:rsidRPr="000D62B3" w:rsidRDefault="003E58EA" w:rsidP="00CB75EB">
            <w:pPr>
              <w:tabs>
                <w:tab w:val="left" w:pos="142"/>
              </w:tabs>
              <w:ind w:left="176" w:hanging="176"/>
              <w:jc w:val="both"/>
              <w:rPr>
                <w:rFonts w:ascii="Verdana" w:hAnsi="Verdana"/>
                <w:bCs/>
                <w:sz w:val="14"/>
                <w:szCs w:val="14"/>
              </w:rPr>
            </w:pPr>
            <w:r>
              <w:rPr>
                <w:rFonts w:ascii="Verdana" w:hAnsi="Verdana"/>
                <w:bCs/>
                <w:sz w:val="14"/>
                <w:szCs w:val="14"/>
                <w:vertAlign w:val="superscript"/>
              </w:rPr>
              <w:t>6</w:t>
            </w:r>
            <w:r w:rsidR="00D232F2" w:rsidRPr="000D62B3">
              <w:rPr>
                <w:rFonts w:ascii="Verdana" w:hAnsi="Verdana"/>
                <w:bCs/>
                <w:sz w:val="14"/>
                <w:szCs w:val="14"/>
              </w:rPr>
              <w:t xml:space="preserve"> - pożyczki w kwocie do </w:t>
            </w:r>
            <w:r w:rsidR="00597BDA" w:rsidRPr="000D62B3">
              <w:rPr>
                <w:rFonts w:ascii="Verdana" w:hAnsi="Verdana"/>
                <w:bCs/>
                <w:sz w:val="14"/>
                <w:szCs w:val="14"/>
              </w:rPr>
              <w:t>5</w:t>
            </w:r>
            <w:r w:rsidR="00D232F2" w:rsidRPr="000D62B3">
              <w:rPr>
                <w:rFonts w:ascii="Verdana" w:hAnsi="Verdana"/>
                <w:bCs/>
                <w:sz w:val="14"/>
                <w:szCs w:val="14"/>
              </w:rPr>
              <w:t xml:space="preserve">00 000,00 zł </w:t>
            </w:r>
            <w:r w:rsidR="00597BDA" w:rsidRPr="000D62B3">
              <w:rPr>
                <w:rFonts w:ascii="Verdana" w:hAnsi="Verdana"/>
                <w:bCs/>
                <w:sz w:val="14"/>
                <w:szCs w:val="14"/>
              </w:rPr>
              <w:t xml:space="preserve">mogą być wypłacane jednorazowo </w:t>
            </w:r>
            <w:r w:rsidR="009A477E" w:rsidRPr="000D62B3">
              <w:rPr>
                <w:rFonts w:ascii="Verdana" w:hAnsi="Verdana"/>
                <w:bCs/>
                <w:sz w:val="14"/>
                <w:szCs w:val="14"/>
              </w:rPr>
              <w:t>oraz, co do zasady,</w:t>
            </w:r>
            <w:r w:rsidR="00D232F2" w:rsidRPr="000D62B3">
              <w:rPr>
                <w:rFonts w:ascii="Verdana" w:hAnsi="Verdana"/>
                <w:bCs/>
                <w:sz w:val="14"/>
                <w:szCs w:val="14"/>
              </w:rPr>
              <w:t xml:space="preserve"> na rachun</w:t>
            </w:r>
            <w:r w:rsidR="009A2806" w:rsidRPr="000D62B3">
              <w:rPr>
                <w:rFonts w:ascii="Verdana" w:hAnsi="Verdana"/>
                <w:bCs/>
                <w:sz w:val="14"/>
                <w:szCs w:val="14"/>
              </w:rPr>
              <w:t xml:space="preserve">ek bankowy Pożyczkobiorcy </w:t>
            </w:r>
            <w:r w:rsidR="00597BDA" w:rsidRPr="000D62B3">
              <w:rPr>
                <w:rFonts w:ascii="Verdana" w:hAnsi="Verdana"/>
                <w:bCs/>
                <w:sz w:val="14"/>
                <w:szCs w:val="14"/>
              </w:rPr>
              <w:t xml:space="preserve">              </w:t>
            </w:r>
            <w:r w:rsidR="009A2806" w:rsidRPr="000D62B3">
              <w:rPr>
                <w:rFonts w:ascii="Verdana" w:hAnsi="Verdana"/>
                <w:bCs/>
                <w:sz w:val="14"/>
                <w:szCs w:val="14"/>
              </w:rPr>
              <w:t>w PLN</w:t>
            </w:r>
            <w:r w:rsidR="009A477E" w:rsidRPr="000D62B3">
              <w:rPr>
                <w:rFonts w:ascii="Verdana" w:eastAsia="Times New Roman" w:hAnsi="Verdana" w:cs="Times New Roman"/>
                <w:sz w:val="14"/>
                <w:szCs w:val="14"/>
                <w:lang w:eastAsia="ar-SA"/>
              </w:rPr>
              <w:t>;</w:t>
            </w:r>
          </w:p>
          <w:p w14:paraId="0D2F7B39" w14:textId="77777777" w:rsidR="00D232F2" w:rsidRPr="00EF166B" w:rsidRDefault="009A2806" w:rsidP="00D232F2">
            <w:pPr>
              <w:ind w:left="142"/>
              <w:jc w:val="both"/>
              <w:rPr>
                <w:rFonts w:ascii="Verdana" w:hAnsi="Verdana"/>
                <w:bCs/>
                <w:sz w:val="14"/>
                <w:szCs w:val="14"/>
              </w:rPr>
            </w:pPr>
            <w:r w:rsidRPr="000D62B3">
              <w:rPr>
                <w:rFonts w:ascii="Verdana" w:hAnsi="Verdana"/>
                <w:bCs/>
                <w:sz w:val="14"/>
                <w:szCs w:val="14"/>
              </w:rPr>
              <w:t xml:space="preserve">- </w:t>
            </w:r>
            <w:r w:rsidR="00D232F2" w:rsidRPr="000D62B3">
              <w:rPr>
                <w:rFonts w:ascii="Verdana" w:hAnsi="Verdana"/>
                <w:bCs/>
                <w:sz w:val="14"/>
                <w:szCs w:val="14"/>
              </w:rPr>
              <w:t>w</w:t>
            </w:r>
            <w:r w:rsidR="00D232F2" w:rsidRPr="000D62B3">
              <w:rPr>
                <w:rFonts w:ascii="Verdana" w:eastAsia="Times New Roman" w:hAnsi="Verdana" w:cs="Times New Roman"/>
                <w:sz w:val="14"/>
                <w:szCs w:val="14"/>
                <w:lang w:eastAsia="ar-SA"/>
              </w:rPr>
              <w:t xml:space="preserve"> indywidualnych przypadkach oraz gdy wymaga tego cel/charakter finansowanego projektu, na wniosek Klienta, </w:t>
            </w:r>
            <w:r w:rsidR="004C6195" w:rsidRPr="000D62B3">
              <w:rPr>
                <w:rFonts w:ascii="Verdana" w:eastAsia="Times New Roman" w:hAnsi="Verdana" w:cs="Times New Roman"/>
                <w:sz w:val="14"/>
                <w:szCs w:val="14"/>
                <w:lang w:eastAsia="ar-SA"/>
              </w:rPr>
              <w:t xml:space="preserve">forma wypłaty </w:t>
            </w:r>
            <w:r w:rsidR="004C6195" w:rsidRPr="00EF166B">
              <w:rPr>
                <w:rFonts w:ascii="Verdana" w:eastAsia="Times New Roman" w:hAnsi="Verdana" w:cs="Times New Roman"/>
                <w:sz w:val="14"/>
                <w:szCs w:val="14"/>
                <w:lang w:eastAsia="ar-SA"/>
              </w:rPr>
              <w:t>ustalana jest indywidualnie z Pożyczkobiorcą</w:t>
            </w:r>
            <w:r w:rsidRPr="00EF166B">
              <w:rPr>
                <w:rFonts w:ascii="Verdana" w:hAnsi="Verdana"/>
                <w:bCs/>
                <w:sz w:val="14"/>
                <w:szCs w:val="14"/>
              </w:rPr>
              <w:t>;</w:t>
            </w:r>
          </w:p>
          <w:p w14:paraId="719703E2" w14:textId="031C7467" w:rsidR="00D232F2" w:rsidRPr="000D62B3" w:rsidRDefault="009A2806" w:rsidP="00D659C3">
            <w:pPr>
              <w:ind w:left="176"/>
              <w:jc w:val="both"/>
              <w:rPr>
                <w:rFonts w:ascii="Verdana" w:hAnsi="Verdana"/>
                <w:bCs/>
                <w:sz w:val="14"/>
                <w:szCs w:val="14"/>
              </w:rPr>
            </w:pPr>
            <w:r w:rsidRPr="00EF166B">
              <w:rPr>
                <w:rFonts w:ascii="Verdana" w:eastAsia="Times New Roman" w:hAnsi="Verdana" w:cs="Times New Roman"/>
                <w:sz w:val="14"/>
                <w:szCs w:val="14"/>
                <w:lang w:eastAsia="ar-SA"/>
              </w:rPr>
              <w:t xml:space="preserve">- </w:t>
            </w:r>
            <w:r w:rsidR="00023658" w:rsidRPr="00EF166B">
              <w:rPr>
                <w:rFonts w:ascii="Verdana" w:eastAsia="Times New Roman" w:hAnsi="Verdana" w:cs="Times New Roman"/>
                <w:sz w:val="14"/>
                <w:szCs w:val="14"/>
                <w:lang w:eastAsia="ar-SA"/>
              </w:rPr>
              <w:t xml:space="preserve">w przypadku pożyczek wypłacanych w transzach </w:t>
            </w:r>
            <w:r w:rsidRPr="00EF166B">
              <w:rPr>
                <w:rFonts w:ascii="Verdana" w:eastAsia="Times New Roman" w:hAnsi="Verdana" w:cs="Times New Roman"/>
                <w:sz w:val="14"/>
                <w:szCs w:val="14"/>
                <w:lang w:eastAsia="ar-SA"/>
              </w:rPr>
              <w:t>w</w:t>
            </w:r>
            <w:r w:rsidR="00D232F2" w:rsidRPr="00EF166B">
              <w:rPr>
                <w:rFonts w:ascii="Verdana" w:eastAsia="Times New Roman" w:hAnsi="Verdana" w:cs="Times New Roman"/>
                <w:sz w:val="14"/>
                <w:szCs w:val="14"/>
                <w:lang w:eastAsia="ar-SA"/>
              </w:rPr>
              <w:t xml:space="preserve">ypłata </w:t>
            </w:r>
            <w:r w:rsidR="00023658" w:rsidRPr="00EF166B">
              <w:rPr>
                <w:rFonts w:ascii="Verdana" w:eastAsia="Times New Roman" w:hAnsi="Verdana" w:cs="Times New Roman"/>
                <w:sz w:val="14"/>
                <w:szCs w:val="14"/>
                <w:lang w:eastAsia="ar-SA"/>
              </w:rPr>
              <w:t xml:space="preserve">kolejnej </w:t>
            </w:r>
            <w:r w:rsidR="00D232F2" w:rsidRPr="00EF166B">
              <w:rPr>
                <w:rFonts w:ascii="Verdana" w:eastAsia="Times New Roman" w:hAnsi="Verdana" w:cs="Times New Roman"/>
                <w:sz w:val="14"/>
                <w:szCs w:val="14"/>
                <w:lang w:eastAsia="ar-SA"/>
              </w:rPr>
              <w:t xml:space="preserve">transzy następuje po </w:t>
            </w:r>
            <w:r w:rsidR="00771858" w:rsidRPr="00EF166B">
              <w:rPr>
                <w:rFonts w:ascii="Verdana" w:eastAsia="Times New Roman" w:hAnsi="Verdana" w:cs="Times New Roman"/>
                <w:sz w:val="14"/>
                <w:szCs w:val="14"/>
                <w:lang w:eastAsia="ar-SA"/>
              </w:rPr>
              <w:t xml:space="preserve">uprzednim </w:t>
            </w:r>
            <w:r w:rsidR="00D232F2" w:rsidRPr="00EF166B">
              <w:rPr>
                <w:rFonts w:ascii="Verdana" w:eastAsia="Times New Roman" w:hAnsi="Verdana" w:cs="Times New Roman"/>
                <w:sz w:val="14"/>
                <w:szCs w:val="14"/>
                <w:lang w:eastAsia="ar-SA"/>
              </w:rPr>
              <w:t xml:space="preserve">udokumentowaniu </w:t>
            </w:r>
            <w:r w:rsidR="00996206" w:rsidRPr="00EF166B">
              <w:rPr>
                <w:rFonts w:ascii="Verdana" w:eastAsia="Times New Roman" w:hAnsi="Verdana" w:cs="Times New Roman"/>
                <w:sz w:val="14"/>
                <w:szCs w:val="14"/>
                <w:lang w:eastAsia="ar-SA"/>
              </w:rPr>
              <w:t>minimum 50% poniesionych wydatków w ramach ostatnio wypłaconej transzy,</w:t>
            </w:r>
            <w:r w:rsidR="00996206" w:rsidRPr="00EF166B">
              <w:rPr>
                <w:rFonts w:ascii="Verdana" w:eastAsia="Times New Roman" w:hAnsi="Verdana" w:cs="Calibri"/>
                <w:sz w:val="14"/>
                <w:szCs w:val="14"/>
                <w:lang w:eastAsia="ar-SA"/>
              </w:rPr>
              <w:t xml:space="preserve"> z zastrzeżeniem, że w przypadku wypłaty pożyczki w 3 lub większej ilości transz dodatkowym warunkiem wypłaty kolejnej transzy jest </w:t>
            </w:r>
            <w:r w:rsidR="00996206" w:rsidRPr="00EF166B">
              <w:rPr>
                <w:rFonts w:ascii="Verdana" w:eastAsia="Times New Roman" w:hAnsi="Verdana" w:cs="Times New Roman"/>
                <w:sz w:val="14"/>
                <w:szCs w:val="14"/>
                <w:lang w:eastAsia="ar-SA"/>
              </w:rPr>
              <w:t>udokumentowanie wykorzystania w całości transzy wypłaconej wcześniej niż ostatnio wypłacona transza</w:t>
            </w:r>
            <w:r w:rsidR="00D659C3" w:rsidRPr="00EF166B">
              <w:rPr>
                <w:rFonts w:ascii="Verdana" w:eastAsia="Times New Roman" w:hAnsi="Verdana" w:cs="Times New Roman"/>
                <w:sz w:val="14"/>
                <w:szCs w:val="14"/>
                <w:lang w:eastAsia="ar-SA"/>
              </w:rPr>
              <w:t>. O</w:t>
            </w:r>
            <w:r w:rsidR="00120F5B" w:rsidRPr="00EF166B">
              <w:rPr>
                <w:rFonts w:ascii="Verdana" w:hAnsi="Verdana" w:cs="Calibri"/>
                <w:color w:val="000000"/>
                <w:sz w:val="14"/>
                <w:szCs w:val="14"/>
              </w:rPr>
              <w:t xml:space="preserve">bowiązek </w:t>
            </w:r>
            <w:r w:rsidR="00D659C3" w:rsidRPr="00EF166B">
              <w:rPr>
                <w:rFonts w:ascii="Verdana" w:hAnsi="Verdana" w:cs="Calibri"/>
                <w:color w:val="000000"/>
                <w:sz w:val="14"/>
                <w:szCs w:val="14"/>
              </w:rPr>
              <w:t xml:space="preserve">częściowego </w:t>
            </w:r>
            <w:r w:rsidR="00120F5B" w:rsidRPr="00EF166B">
              <w:rPr>
                <w:rFonts w:ascii="Verdana" w:hAnsi="Verdana" w:cs="Calibri"/>
                <w:color w:val="000000"/>
                <w:sz w:val="14"/>
                <w:szCs w:val="14"/>
              </w:rPr>
              <w:t>udokumentowania poniesienia wydatków</w:t>
            </w:r>
            <w:r w:rsidR="00996206" w:rsidRPr="00EF166B">
              <w:rPr>
                <w:rFonts w:ascii="Verdana" w:hAnsi="Verdana" w:cs="Calibri"/>
                <w:color w:val="000000"/>
                <w:sz w:val="14"/>
                <w:szCs w:val="14"/>
              </w:rPr>
              <w:t xml:space="preserve"> </w:t>
            </w:r>
            <w:r w:rsidR="00120F5B" w:rsidRPr="00EF166B">
              <w:rPr>
                <w:rFonts w:ascii="Verdana" w:hAnsi="Verdana" w:cs="Calibri"/>
                <w:color w:val="000000"/>
                <w:sz w:val="14"/>
                <w:szCs w:val="14"/>
              </w:rPr>
              <w:t>w ramach danej transzy przed wypłatą kolejnych transz pożyczki może zostać wyłączony w przypadku, gdy jego realizacja</w:t>
            </w:r>
            <w:r w:rsidR="00996206" w:rsidRPr="00EF166B">
              <w:rPr>
                <w:rFonts w:ascii="Verdana" w:hAnsi="Verdana" w:cs="Calibri"/>
                <w:color w:val="000000"/>
                <w:sz w:val="14"/>
                <w:szCs w:val="14"/>
              </w:rPr>
              <w:t xml:space="preserve"> </w:t>
            </w:r>
            <w:r w:rsidR="00120F5B" w:rsidRPr="00EF166B">
              <w:rPr>
                <w:rFonts w:ascii="Verdana" w:hAnsi="Verdana" w:cs="Calibri"/>
                <w:color w:val="000000"/>
                <w:sz w:val="14"/>
                <w:szCs w:val="14"/>
              </w:rPr>
              <w:t>jest niemożliwa lub szczególnie utrudniona ze względu na negatywne skutki epidemii COVID-19</w:t>
            </w:r>
            <w:r w:rsidR="00023658" w:rsidRPr="00EF166B">
              <w:rPr>
                <w:rFonts w:ascii="Verdana" w:eastAsia="Times New Roman" w:hAnsi="Verdana" w:cs="Times New Roman"/>
                <w:sz w:val="14"/>
                <w:szCs w:val="14"/>
                <w:lang w:eastAsia="ar-SA"/>
              </w:rPr>
              <w:t>.</w:t>
            </w:r>
          </w:p>
        </w:tc>
      </w:tr>
      <w:tr w:rsidR="00084639" w:rsidRPr="00084639" w14:paraId="2FB950FB" w14:textId="77777777" w:rsidTr="005F46FE">
        <w:trPr>
          <w:trHeight w:val="306"/>
        </w:trPr>
        <w:tc>
          <w:tcPr>
            <w:tcW w:w="9923" w:type="dxa"/>
            <w:shd w:val="clear" w:color="auto" w:fill="auto"/>
            <w:hideMark/>
          </w:tcPr>
          <w:p w14:paraId="5A920AE8" w14:textId="566F333D" w:rsidR="00084639" w:rsidRPr="000D62B3" w:rsidRDefault="003E58EA" w:rsidP="009A2806">
            <w:pPr>
              <w:ind w:left="176" w:hanging="176"/>
              <w:jc w:val="both"/>
              <w:rPr>
                <w:rFonts w:ascii="Verdana" w:hAnsi="Verdana"/>
                <w:bCs/>
                <w:sz w:val="14"/>
                <w:szCs w:val="14"/>
              </w:rPr>
            </w:pPr>
            <w:r>
              <w:rPr>
                <w:rFonts w:ascii="Verdana" w:hAnsi="Verdana"/>
                <w:bCs/>
                <w:sz w:val="14"/>
                <w:szCs w:val="14"/>
                <w:vertAlign w:val="superscript"/>
              </w:rPr>
              <w:t>7</w:t>
            </w:r>
            <w:r w:rsidR="009A2806" w:rsidRPr="000D62B3">
              <w:rPr>
                <w:rFonts w:ascii="Verdana" w:hAnsi="Verdana"/>
                <w:bCs/>
                <w:sz w:val="14"/>
                <w:szCs w:val="14"/>
                <w:vertAlign w:val="superscript"/>
              </w:rPr>
              <w:t xml:space="preserve"> </w:t>
            </w:r>
            <w:r w:rsidR="0063709B" w:rsidRPr="000D62B3">
              <w:rPr>
                <w:rFonts w:ascii="Verdana" w:hAnsi="Verdana"/>
                <w:bCs/>
                <w:sz w:val="14"/>
                <w:szCs w:val="14"/>
              </w:rPr>
              <w:t xml:space="preserve">w przypadku pożyczek do 50 000,00 zł jedynym zabezpieczeniem jest weksel własny in blanco Pożyczkobiorcy, z wyłączeniem przedsiębiorców prowadzących działalność gospodarczą w okresie krótszym niż 6 miesięcy na dzień złożenia wniosku </w:t>
            </w:r>
            <w:r w:rsidR="004940B7" w:rsidRPr="000D62B3">
              <w:rPr>
                <w:rFonts w:ascii="Verdana" w:hAnsi="Verdana"/>
                <w:bCs/>
                <w:sz w:val="14"/>
                <w:szCs w:val="14"/>
              </w:rPr>
              <w:t>p</w:t>
            </w:r>
            <w:r w:rsidR="0063709B" w:rsidRPr="000D62B3">
              <w:rPr>
                <w:rFonts w:ascii="Verdana" w:hAnsi="Verdana"/>
                <w:bCs/>
                <w:sz w:val="14"/>
                <w:szCs w:val="14"/>
              </w:rPr>
              <w:t>ożyczkowego</w:t>
            </w:r>
            <w:r w:rsidR="003449C3" w:rsidRPr="000D62B3">
              <w:rPr>
                <w:rFonts w:ascii="Verdana" w:hAnsi="Verdana"/>
                <w:bCs/>
                <w:sz w:val="14"/>
                <w:szCs w:val="14"/>
              </w:rPr>
              <w:t>.</w:t>
            </w:r>
          </w:p>
        </w:tc>
      </w:tr>
      <w:tr w:rsidR="00377B5B" w:rsidRPr="00084639" w14:paraId="53C622D6" w14:textId="77777777" w:rsidTr="005F46FE">
        <w:trPr>
          <w:trHeight w:val="306"/>
        </w:trPr>
        <w:tc>
          <w:tcPr>
            <w:tcW w:w="9923" w:type="dxa"/>
            <w:shd w:val="clear" w:color="auto" w:fill="auto"/>
          </w:tcPr>
          <w:p w14:paraId="1557DD50" w14:textId="3A85CDB9" w:rsidR="007C6087" w:rsidRDefault="003E58EA" w:rsidP="007548B2">
            <w:pPr>
              <w:ind w:left="176" w:hanging="176"/>
              <w:jc w:val="both"/>
              <w:rPr>
                <w:rFonts w:ascii="Verdana" w:hAnsi="Verdana"/>
                <w:sz w:val="14"/>
                <w:szCs w:val="14"/>
              </w:rPr>
            </w:pPr>
            <w:r>
              <w:rPr>
                <w:rFonts w:ascii="Verdana" w:hAnsi="Verdana"/>
                <w:bCs/>
                <w:sz w:val="14"/>
                <w:szCs w:val="14"/>
                <w:vertAlign w:val="superscript"/>
              </w:rPr>
              <w:t>8</w:t>
            </w:r>
            <w:r w:rsidR="00377B5B">
              <w:rPr>
                <w:rFonts w:ascii="Verdana" w:hAnsi="Verdana"/>
                <w:bCs/>
                <w:sz w:val="14"/>
                <w:szCs w:val="14"/>
                <w:vertAlign w:val="superscript"/>
              </w:rPr>
              <w:t xml:space="preserve"> </w:t>
            </w:r>
            <w:r w:rsidR="007C6087">
              <w:rPr>
                <w:rFonts w:ascii="Verdana" w:hAnsi="Verdana"/>
                <w:bCs/>
                <w:sz w:val="14"/>
                <w:szCs w:val="14"/>
              </w:rPr>
              <w:t>o</w:t>
            </w:r>
            <w:r w:rsidR="00377B5B">
              <w:rPr>
                <w:rFonts w:ascii="Verdana" w:hAnsi="Verdana"/>
                <w:sz w:val="14"/>
                <w:szCs w:val="14"/>
              </w:rPr>
              <w:t>bejmujące produkcję wyrobów służących zwalczaniu epidemii COVID-19, takich jak produkty lecznicze (w tym szczepionki) i terapie,</w:t>
            </w:r>
          </w:p>
          <w:p w14:paraId="5801A3C7" w14:textId="77777777" w:rsidR="007C6087" w:rsidRDefault="007C6087" w:rsidP="007548B2">
            <w:pPr>
              <w:jc w:val="both"/>
              <w:rPr>
                <w:rFonts w:ascii="Verdana" w:hAnsi="Verdana"/>
                <w:sz w:val="14"/>
                <w:szCs w:val="14"/>
              </w:rPr>
            </w:pPr>
            <w:r>
              <w:rPr>
                <w:rFonts w:ascii="Verdana" w:hAnsi="Verdana"/>
                <w:sz w:val="14"/>
                <w:szCs w:val="14"/>
              </w:rPr>
              <w:t xml:space="preserve">  i</w:t>
            </w:r>
            <w:r w:rsidR="00377B5B">
              <w:rPr>
                <w:rFonts w:ascii="Verdana" w:hAnsi="Verdana"/>
                <w:sz w:val="14"/>
                <w:szCs w:val="14"/>
              </w:rPr>
              <w:t>ch</w:t>
            </w:r>
            <w:r>
              <w:rPr>
                <w:rFonts w:ascii="Verdana" w:hAnsi="Verdana"/>
                <w:sz w:val="14"/>
                <w:szCs w:val="14"/>
              </w:rPr>
              <w:t xml:space="preserve"> </w:t>
            </w:r>
            <w:r w:rsidR="00377B5B">
              <w:rPr>
                <w:rFonts w:ascii="Verdana" w:hAnsi="Verdana"/>
                <w:sz w:val="14"/>
                <w:szCs w:val="14"/>
              </w:rPr>
              <w:t>półprodukty, farmaceutyczne składniki czynne i surowce; wyrobów medycznych oraz sprzętu szpitalnego i medycznego (w tym</w:t>
            </w:r>
          </w:p>
          <w:p w14:paraId="162A1E19" w14:textId="77777777" w:rsidR="007C6087" w:rsidRDefault="007C6087" w:rsidP="007548B2">
            <w:pPr>
              <w:jc w:val="both"/>
              <w:rPr>
                <w:rFonts w:ascii="Verdana" w:hAnsi="Verdana"/>
                <w:sz w:val="14"/>
                <w:szCs w:val="14"/>
              </w:rPr>
            </w:pPr>
            <w:r>
              <w:rPr>
                <w:rFonts w:ascii="Verdana" w:hAnsi="Verdana"/>
                <w:sz w:val="14"/>
                <w:szCs w:val="14"/>
              </w:rPr>
              <w:t xml:space="preserve">  </w:t>
            </w:r>
            <w:r w:rsidR="00377B5B">
              <w:rPr>
                <w:rFonts w:ascii="Verdana" w:hAnsi="Verdana"/>
                <w:sz w:val="14"/>
                <w:szCs w:val="14"/>
              </w:rPr>
              <w:t>respiratorów</w:t>
            </w:r>
            <w:r>
              <w:rPr>
                <w:rFonts w:ascii="Verdana" w:hAnsi="Verdana"/>
                <w:sz w:val="14"/>
                <w:szCs w:val="14"/>
              </w:rPr>
              <w:t xml:space="preserve">, </w:t>
            </w:r>
            <w:r w:rsidR="00377B5B">
              <w:rPr>
                <w:rFonts w:ascii="Verdana" w:hAnsi="Verdana"/>
                <w:sz w:val="14"/>
                <w:szCs w:val="14"/>
              </w:rPr>
              <w:t>odzieży i sprzętu ochronnego, a także narzędzi diagnostycznych) oraz niezbędnych surowców; środków odkażających i</w:t>
            </w:r>
          </w:p>
          <w:p w14:paraId="681048CF" w14:textId="24FEE168" w:rsidR="00377B5B" w:rsidRPr="007548B2" w:rsidRDefault="007C6087" w:rsidP="007548B2">
            <w:pPr>
              <w:jc w:val="both"/>
              <w:rPr>
                <w:rFonts w:ascii="Verdana" w:hAnsi="Verdana"/>
                <w:sz w:val="14"/>
                <w:szCs w:val="14"/>
              </w:rPr>
            </w:pPr>
            <w:r>
              <w:rPr>
                <w:rFonts w:ascii="Verdana" w:hAnsi="Verdana"/>
                <w:sz w:val="14"/>
                <w:szCs w:val="14"/>
              </w:rPr>
              <w:t xml:space="preserve">  </w:t>
            </w:r>
            <w:r w:rsidR="00377B5B">
              <w:rPr>
                <w:rFonts w:ascii="Verdana" w:hAnsi="Verdana"/>
                <w:sz w:val="14"/>
                <w:szCs w:val="14"/>
              </w:rPr>
              <w:t>ich produktów pośrednich</w:t>
            </w:r>
            <w:r>
              <w:rPr>
                <w:rFonts w:ascii="Verdana" w:hAnsi="Verdana"/>
                <w:sz w:val="14"/>
                <w:szCs w:val="14"/>
              </w:rPr>
              <w:t xml:space="preserve"> </w:t>
            </w:r>
            <w:r w:rsidR="00377B5B">
              <w:rPr>
                <w:rFonts w:ascii="Verdana" w:hAnsi="Verdana"/>
                <w:sz w:val="14"/>
                <w:szCs w:val="14"/>
              </w:rPr>
              <w:t>oraz surowców chemicznych niezbędnych do ich produkcji; narzędzi do gromadzenia/przetwarzania danych.</w:t>
            </w:r>
          </w:p>
        </w:tc>
      </w:tr>
    </w:tbl>
    <w:p w14:paraId="736479D5" w14:textId="0FF090CA" w:rsidR="00084639" w:rsidRPr="002966C5" w:rsidRDefault="00084639" w:rsidP="00996206">
      <w:pPr>
        <w:rPr>
          <w:sz w:val="13"/>
          <w:szCs w:val="13"/>
        </w:rPr>
      </w:pPr>
    </w:p>
    <w:sectPr w:rsidR="00084639" w:rsidRPr="002966C5" w:rsidSect="003521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3A33" w14:textId="77777777" w:rsidR="004F0810" w:rsidRDefault="004F0810" w:rsidP="002B44D6">
      <w:pPr>
        <w:spacing w:after="0" w:line="240" w:lineRule="auto"/>
      </w:pPr>
      <w:r>
        <w:separator/>
      </w:r>
    </w:p>
  </w:endnote>
  <w:endnote w:type="continuationSeparator" w:id="0">
    <w:p w14:paraId="3B6CB463" w14:textId="77777777" w:rsidR="004F0810" w:rsidRDefault="004F0810" w:rsidP="002B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12675" w14:textId="77777777" w:rsidR="004F0810" w:rsidRDefault="004F0810" w:rsidP="002B44D6">
      <w:pPr>
        <w:spacing w:after="0" w:line="240" w:lineRule="auto"/>
      </w:pPr>
      <w:r>
        <w:separator/>
      </w:r>
    </w:p>
  </w:footnote>
  <w:footnote w:type="continuationSeparator" w:id="0">
    <w:p w14:paraId="600CFC72" w14:textId="77777777" w:rsidR="004F0810" w:rsidRDefault="004F0810" w:rsidP="002B4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04B4A"/>
    <w:multiLevelType w:val="hybridMultilevel"/>
    <w:tmpl w:val="26F83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B1F42"/>
    <w:multiLevelType w:val="hybridMultilevel"/>
    <w:tmpl w:val="E996BAA0"/>
    <w:lvl w:ilvl="0" w:tplc="2F94BB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559E2"/>
    <w:multiLevelType w:val="hybridMultilevel"/>
    <w:tmpl w:val="1A76AB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1923FD"/>
    <w:multiLevelType w:val="hybridMultilevel"/>
    <w:tmpl w:val="A3D229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40083209"/>
    <w:multiLevelType w:val="hybridMultilevel"/>
    <w:tmpl w:val="8724FDF2"/>
    <w:lvl w:ilvl="0" w:tplc="04B4D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7E2F97"/>
    <w:multiLevelType w:val="hybridMultilevel"/>
    <w:tmpl w:val="EB7803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551C6D04"/>
    <w:multiLevelType w:val="hybridMultilevel"/>
    <w:tmpl w:val="5AB0A496"/>
    <w:lvl w:ilvl="0" w:tplc="AD089826">
      <w:start w:val="1"/>
      <w:numFmt w:val="decimal"/>
      <w:lvlText w:val="%1"/>
      <w:lvlJc w:val="left"/>
      <w:pPr>
        <w:ind w:left="720" w:hanging="360"/>
      </w:pPr>
      <w:rPr>
        <w:rFonts w:hint="default"/>
        <w:vertAlign w:val="superscrip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6F13C1"/>
    <w:multiLevelType w:val="hybridMultilevel"/>
    <w:tmpl w:val="26F83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3A725A"/>
    <w:multiLevelType w:val="hybridMultilevel"/>
    <w:tmpl w:val="682A98CE"/>
    <w:lvl w:ilvl="0" w:tplc="084A5092">
      <w:start w:val="1"/>
      <w:numFmt w:val="decimal"/>
      <w:lvlText w:val="%1"/>
      <w:lvlJc w:val="left"/>
      <w:pPr>
        <w:ind w:left="720" w:hanging="360"/>
      </w:pPr>
      <w:rPr>
        <w:rFonts w:hint="default"/>
        <w:vertAlign w:val="superscrip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9F2370"/>
    <w:multiLevelType w:val="hybridMultilevel"/>
    <w:tmpl w:val="952C3D30"/>
    <w:lvl w:ilvl="0" w:tplc="4170C426">
      <w:start w:val="1"/>
      <w:numFmt w:val="lowerLetter"/>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num w:numId="1">
    <w:abstractNumId w:val="0"/>
  </w:num>
  <w:num w:numId="2">
    <w:abstractNumId w:val="7"/>
  </w:num>
  <w:num w:numId="3">
    <w:abstractNumId w:val="3"/>
  </w:num>
  <w:num w:numId="4">
    <w:abstractNumId w:val="9"/>
  </w:num>
  <w:num w:numId="5">
    <w:abstractNumId w:val="6"/>
  </w:num>
  <w:num w:numId="6">
    <w:abstractNumId w:val="4"/>
  </w:num>
  <w:num w:numId="7">
    <w:abstractNumId w:val="1"/>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30"/>
    <w:rsid w:val="00020857"/>
    <w:rsid w:val="00023658"/>
    <w:rsid w:val="00036EAE"/>
    <w:rsid w:val="000403EA"/>
    <w:rsid w:val="00064992"/>
    <w:rsid w:val="00084639"/>
    <w:rsid w:val="00090689"/>
    <w:rsid w:val="000906CD"/>
    <w:rsid w:val="00090741"/>
    <w:rsid w:val="000C1BBF"/>
    <w:rsid w:val="000C48D5"/>
    <w:rsid w:val="000D50DA"/>
    <w:rsid w:val="000D62B3"/>
    <w:rsid w:val="00120F5B"/>
    <w:rsid w:val="001425DA"/>
    <w:rsid w:val="001479A7"/>
    <w:rsid w:val="00155E1A"/>
    <w:rsid w:val="00175894"/>
    <w:rsid w:val="00185111"/>
    <w:rsid w:val="00194DD3"/>
    <w:rsid w:val="001B7D00"/>
    <w:rsid w:val="001D2068"/>
    <w:rsid w:val="001D2B83"/>
    <w:rsid w:val="001D63BC"/>
    <w:rsid w:val="001F56DD"/>
    <w:rsid w:val="001F6381"/>
    <w:rsid w:val="00201557"/>
    <w:rsid w:val="0023585D"/>
    <w:rsid w:val="00251CDD"/>
    <w:rsid w:val="00275C43"/>
    <w:rsid w:val="002765CD"/>
    <w:rsid w:val="002966C5"/>
    <w:rsid w:val="002A0E33"/>
    <w:rsid w:val="002B44D6"/>
    <w:rsid w:val="002B7F0C"/>
    <w:rsid w:val="002D7AE3"/>
    <w:rsid w:val="002F1B5A"/>
    <w:rsid w:val="00304687"/>
    <w:rsid w:val="00306309"/>
    <w:rsid w:val="003449C3"/>
    <w:rsid w:val="003508DE"/>
    <w:rsid w:val="003521C5"/>
    <w:rsid w:val="00365192"/>
    <w:rsid w:val="0037329A"/>
    <w:rsid w:val="00373752"/>
    <w:rsid w:val="00375D0A"/>
    <w:rsid w:val="0037711D"/>
    <w:rsid w:val="00377B5B"/>
    <w:rsid w:val="00396EF5"/>
    <w:rsid w:val="003A5D7E"/>
    <w:rsid w:val="003B09CE"/>
    <w:rsid w:val="003B2F92"/>
    <w:rsid w:val="003C4CDA"/>
    <w:rsid w:val="003D2D0B"/>
    <w:rsid w:val="003E0904"/>
    <w:rsid w:val="003E58EA"/>
    <w:rsid w:val="003F20A1"/>
    <w:rsid w:val="00435FD0"/>
    <w:rsid w:val="00450C76"/>
    <w:rsid w:val="00456A6B"/>
    <w:rsid w:val="00463831"/>
    <w:rsid w:val="00477EE3"/>
    <w:rsid w:val="0049088E"/>
    <w:rsid w:val="00490A8B"/>
    <w:rsid w:val="004940B7"/>
    <w:rsid w:val="00496A19"/>
    <w:rsid w:val="004A635C"/>
    <w:rsid w:val="004C06E7"/>
    <w:rsid w:val="004C4DEA"/>
    <w:rsid w:val="004C6195"/>
    <w:rsid w:val="004F0810"/>
    <w:rsid w:val="004F6A65"/>
    <w:rsid w:val="005058DB"/>
    <w:rsid w:val="00512552"/>
    <w:rsid w:val="00515F4F"/>
    <w:rsid w:val="00517616"/>
    <w:rsid w:val="005177E6"/>
    <w:rsid w:val="00517EC5"/>
    <w:rsid w:val="005647C6"/>
    <w:rsid w:val="005651A2"/>
    <w:rsid w:val="00586788"/>
    <w:rsid w:val="00597BDA"/>
    <w:rsid w:val="005A415E"/>
    <w:rsid w:val="005A422F"/>
    <w:rsid w:val="005C1DA8"/>
    <w:rsid w:val="005D5D3D"/>
    <w:rsid w:val="005D7E7A"/>
    <w:rsid w:val="005F46FE"/>
    <w:rsid w:val="0063709B"/>
    <w:rsid w:val="00651900"/>
    <w:rsid w:val="006608AE"/>
    <w:rsid w:val="00676D34"/>
    <w:rsid w:val="00687A43"/>
    <w:rsid w:val="006919AF"/>
    <w:rsid w:val="00692A54"/>
    <w:rsid w:val="006964C8"/>
    <w:rsid w:val="006A4810"/>
    <w:rsid w:val="006B6A9A"/>
    <w:rsid w:val="006C2777"/>
    <w:rsid w:val="006C678C"/>
    <w:rsid w:val="006E2D14"/>
    <w:rsid w:val="006F7C83"/>
    <w:rsid w:val="00702897"/>
    <w:rsid w:val="00751BA4"/>
    <w:rsid w:val="00752379"/>
    <w:rsid w:val="007532C0"/>
    <w:rsid w:val="007548B2"/>
    <w:rsid w:val="00764A74"/>
    <w:rsid w:val="00771858"/>
    <w:rsid w:val="00795D13"/>
    <w:rsid w:val="007A33E4"/>
    <w:rsid w:val="007A64DD"/>
    <w:rsid w:val="007A7558"/>
    <w:rsid w:val="007B46BE"/>
    <w:rsid w:val="007C6087"/>
    <w:rsid w:val="007E01B0"/>
    <w:rsid w:val="007E73D2"/>
    <w:rsid w:val="007F322F"/>
    <w:rsid w:val="007F5C02"/>
    <w:rsid w:val="00813FF0"/>
    <w:rsid w:val="00820530"/>
    <w:rsid w:val="008337B4"/>
    <w:rsid w:val="00851BB9"/>
    <w:rsid w:val="0085422A"/>
    <w:rsid w:val="00865D00"/>
    <w:rsid w:val="008779DF"/>
    <w:rsid w:val="00897142"/>
    <w:rsid w:val="008A61B3"/>
    <w:rsid w:val="008B4AE5"/>
    <w:rsid w:val="008C5300"/>
    <w:rsid w:val="008E2D39"/>
    <w:rsid w:val="008F0DBC"/>
    <w:rsid w:val="00901A95"/>
    <w:rsid w:val="0090362F"/>
    <w:rsid w:val="0095635A"/>
    <w:rsid w:val="009621E9"/>
    <w:rsid w:val="009664FF"/>
    <w:rsid w:val="00966B4F"/>
    <w:rsid w:val="00971E1C"/>
    <w:rsid w:val="009778C1"/>
    <w:rsid w:val="00996206"/>
    <w:rsid w:val="009A2806"/>
    <w:rsid w:val="009A477E"/>
    <w:rsid w:val="009E207A"/>
    <w:rsid w:val="009E7A03"/>
    <w:rsid w:val="00A351A4"/>
    <w:rsid w:val="00A40EB9"/>
    <w:rsid w:val="00A46944"/>
    <w:rsid w:val="00AA50C8"/>
    <w:rsid w:val="00AB6B3B"/>
    <w:rsid w:val="00AC51E5"/>
    <w:rsid w:val="00B24CA4"/>
    <w:rsid w:val="00B41317"/>
    <w:rsid w:val="00B64225"/>
    <w:rsid w:val="00B82ED9"/>
    <w:rsid w:val="00B87A48"/>
    <w:rsid w:val="00BB10DF"/>
    <w:rsid w:val="00BB18FE"/>
    <w:rsid w:val="00BB5F83"/>
    <w:rsid w:val="00BF5CB9"/>
    <w:rsid w:val="00C1594C"/>
    <w:rsid w:val="00C1740C"/>
    <w:rsid w:val="00C66B55"/>
    <w:rsid w:val="00C66F88"/>
    <w:rsid w:val="00C732CF"/>
    <w:rsid w:val="00C74965"/>
    <w:rsid w:val="00C77585"/>
    <w:rsid w:val="00C86646"/>
    <w:rsid w:val="00CA2D25"/>
    <w:rsid w:val="00CB1635"/>
    <w:rsid w:val="00CB70F7"/>
    <w:rsid w:val="00CB75EB"/>
    <w:rsid w:val="00CD50B0"/>
    <w:rsid w:val="00CE2B03"/>
    <w:rsid w:val="00CE6FD1"/>
    <w:rsid w:val="00D060A9"/>
    <w:rsid w:val="00D126F1"/>
    <w:rsid w:val="00D1731F"/>
    <w:rsid w:val="00D232F2"/>
    <w:rsid w:val="00D31F9D"/>
    <w:rsid w:val="00D46824"/>
    <w:rsid w:val="00D659C3"/>
    <w:rsid w:val="00D9679B"/>
    <w:rsid w:val="00DA4FBD"/>
    <w:rsid w:val="00DB29BD"/>
    <w:rsid w:val="00DB3281"/>
    <w:rsid w:val="00DC17DF"/>
    <w:rsid w:val="00DE266C"/>
    <w:rsid w:val="00DE358A"/>
    <w:rsid w:val="00E3170D"/>
    <w:rsid w:val="00E4163B"/>
    <w:rsid w:val="00E505AE"/>
    <w:rsid w:val="00E51C71"/>
    <w:rsid w:val="00E52DEB"/>
    <w:rsid w:val="00E55BED"/>
    <w:rsid w:val="00E60287"/>
    <w:rsid w:val="00E61FF2"/>
    <w:rsid w:val="00E83F14"/>
    <w:rsid w:val="00EA04DB"/>
    <w:rsid w:val="00EB5F58"/>
    <w:rsid w:val="00ED3ECC"/>
    <w:rsid w:val="00EE6E83"/>
    <w:rsid w:val="00EF166B"/>
    <w:rsid w:val="00EF49C5"/>
    <w:rsid w:val="00F05B5F"/>
    <w:rsid w:val="00F1190F"/>
    <w:rsid w:val="00F41A29"/>
    <w:rsid w:val="00F47382"/>
    <w:rsid w:val="00F4772A"/>
    <w:rsid w:val="00F5095B"/>
    <w:rsid w:val="00F50E74"/>
    <w:rsid w:val="00F56331"/>
    <w:rsid w:val="00F63136"/>
    <w:rsid w:val="00F65E55"/>
    <w:rsid w:val="00F70179"/>
    <w:rsid w:val="00F7337E"/>
    <w:rsid w:val="00F9078D"/>
    <w:rsid w:val="00FA00BD"/>
    <w:rsid w:val="00FB7F68"/>
    <w:rsid w:val="00FC6098"/>
    <w:rsid w:val="00FD1FCB"/>
    <w:rsid w:val="00FD4CD1"/>
    <w:rsid w:val="00FD6B91"/>
    <w:rsid w:val="00FF04E4"/>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9662"/>
  <w15:docId w15:val="{281C9E6E-411A-40E6-8E00-FB751104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D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06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6E7"/>
    <w:rPr>
      <w:rFonts w:ascii="Segoe UI" w:hAnsi="Segoe UI" w:cs="Segoe UI"/>
      <w:sz w:val="18"/>
      <w:szCs w:val="18"/>
    </w:rPr>
  </w:style>
  <w:style w:type="paragraph" w:styleId="Tekstprzypisudolnego">
    <w:name w:val="footnote text"/>
    <w:basedOn w:val="Normalny"/>
    <w:link w:val="TekstprzypisudolnegoZnak"/>
    <w:semiHidden/>
    <w:unhideWhenUsed/>
    <w:rsid w:val="002B44D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B44D6"/>
    <w:rPr>
      <w:sz w:val="20"/>
      <w:szCs w:val="20"/>
    </w:rPr>
  </w:style>
  <w:style w:type="character" w:styleId="Odwoanieprzypisudolnego">
    <w:name w:val="footnote reference"/>
    <w:basedOn w:val="Domylnaczcionkaakapitu"/>
    <w:uiPriority w:val="99"/>
    <w:semiHidden/>
    <w:unhideWhenUsed/>
    <w:rsid w:val="002B44D6"/>
    <w:rPr>
      <w:vertAlign w:val="superscript"/>
    </w:rPr>
  </w:style>
  <w:style w:type="paragraph" w:styleId="Akapitzlist">
    <w:name w:val="List Paragraph"/>
    <w:basedOn w:val="Normalny"/>
    <w:link w:val="AkapitzlistZnak"/>
    <w:uiPriority w:val="34"/>
    <w:qFormat/>
    <w:rsid w:val="002B44D6"/>
    <w:pPr>
      <w:ind w:left="720"/>
      <w:contextualSpacing/>
    </w:pPr>
  </w:style>
  <w:style w:type="character" w:styleId="Odwoaniedokomentarza">
    <w:name w:val="annotation reference"/>
    <w:basedOn w:val="Domylnaczcionkaakapitu"/>
    <w:uiPriority w:val="99"/>
    <w:semiHidden/>
    <w:unhideWhenUsed/>
    <w:rsid w:val="00512552"/>
    <w:rPr>
      <w:sz w:val="16"/>
      <w:szCs w:val="16"/>
    </w:rPr>
  </w:style>
  <w:style w:type="paragraph" w:styleId="Tekstkomentarza">
    <w:name w:val="annotation text"/>
    <w:basedOn w:val="Normalny"/>
    <w:link w:val="TekstkomentarzaZnak"/>
    <w:uiPriority w:val="99"/>
    <w:semiHidden/>
    <w:unhideWhenUsed/>
    <w:rsid w:val="00512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2552"/>
    <w:rPr>
      <w:sz w:val="20"/>
      <w:szCs w:val="20"/>
    </w:rPr>
  </w:style>
  <w:style w:type="paragraph" w:styleId="Tematkomentarza">
    <w:name w:val="annotation subject"/>
    <w:basedOn w:val="Tekstkomentarza"/>
    <w:next w:val="Tekstkomentarza"/>
    <w:link w:val="TematkomentarzaZnak"/>
    <w:uiPriority w:val="99"/>
    <w:semiHidden/>
    <w:unhideWhenUsed/>
    <w:rsid w:val="00512552"/>
    <w:rPr>
      <w:b/>
      <w:bCs/>
    </w:rPr>
  </w:style>
  <w:style w:type="character" w:customStyle="1" w:styleId="TematkomentarzaZnak">
    <w:name w:val="Temat komentarza Znak"/>
    <w:basedOn w:val="TekstkomentarzaZnak"/>
    <w:link w:val="Tematkomentarza"/>
    <w:uiPriority w:val="99"/>
    <w:semiHidden/>
    <w:rsid w:val="00512552"/>
    <w:rPr>
      <w:b/>
      <w:bCs/>
      <w:sz w:val="20"/>
      <w:szCs w:val="20"/>
    </w:rPr>
  </w:style>
  <w:style w:type="paragraph" w:customStyle="1" w:styleId="Default">
    <w:name w:val="Default"/>
    <w:rsid w:val="008779DF"/>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C6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41503">
      <w:bodyDiv w:val="1"/>
      <w:marLeft w:val="0"/>
      <w:marRight w:val="0"/>
      <w:marTop w:val="0"/>
      <w:marBottom w:val="0"/>
      <w:divBdr>
        <w:top w:val="none" w:sz="0" w:space="0" w:color="auto"/>
        <w:left w:val="none" w:sz="0" w:space="0" w:color="auto"/>
        <w:bottom w:val="none" w:sz="0" w:space="0" w:color="auto"/>
        <w:right w:val="none" w:sz="0" w:space="0" w:color="auto"/>
      </w:divBdr>
    </w:div>
    <w:div w:id="650719031">
      <w:bodyDiv w:val="1"/>
      <w:marLeft w:val="0"/>
      <w:marRight w:val="0"/>
      <w:marTop w:val="0"/>
      <w:marBottom w:val="0"/>
      <w:divBdr>
        <w:top w:val="none" w:sz="0" w:space="0" w:color="auto"/>
        <w:left w:val="none" w:sz="0" w:space="0" w:color="auto"/>
        <w:bottom w:val="none" w:sz="0" w:space="0" w:color="auto"/>
        <w:right w:val="none" w:sz="0" w:space="0" w:color="auto"/>
      </w:divBdr>
    </w:div>
    <w:div w:id="1444305399">
      <w:bodyDiv w:val="1"/>
      <w:marLeft w:val="0"/>
      <w:marRight w:val="0"/>
      <w:marTop w:val="0"/>
      <w:marBottom w:val="0"/>
      <w:divBdr>
        <w:top w:val="none" w:sz="0" w:space="0" w:color="auto"/>
        <w:left w:val="none" w:sz="0" w:space="0" w:color="auto"/>
        <w:bottom w:val="none" w:sz="0" w:space="0" w:color="auto"/>
        <w:right w:val="none" w:sz="0" w:space="0" w:color="auto"/>
      </w:divBdr>
    </w:div>
    <w:div w:id="1633168368">
      <w:bodyDiv w:val="1"/>
      <w:marLeft w:val="0"/>
      <w:marRight w:val="0"/>
      <w:marTop w:val="0"/>
      <w:marBottom w:val="0"/>
      <w:divBdr>
        <w:top w:val="none" w:sz="0" w:space="0" w:color="auto"/>
        <w:left w:val="none" w:sz="0" w:space="0" w:color="auto"/>
        <w:bottom w:val="none" w:sz="0" w:space="0" w:color="auto"/>
        <w:right w:val="none" w:sz="0" w:space="0" w:color="auto"/>
      </w:divBdr>
    </w:div>
    <w:div w:id="1646154710">
      <w:bodyDiv w:val="1"/>
      <w:marLeft w:val="0"/>
      <w:marRight w:val="0"/>
      <w:marTop w:val="0"/>
      <w:marBottom w:val="0"/>
      <w:divBdr>
        <w:top w:val="none" w:sz="0" w:space="0" w:color="auto"/>
        <w:left w:val="none" w:sz="0" w:space="0" w:color="auto"/>
        <w:bottom w:val="none" w:sz="0" w:space="0" w:color="auto"/>
        <w:right w:val="none" w:sz="0" w:space="0" w:color="auto"/>
      </w:divBdr>
    </w:div>
    <w:div w:id="1767848108">
      <w:bodyDiv w:val="1"/>
      <w:marLeft w:val="0"/>
      <w:marRight w:val="0"/>
      <w:marTop w:val="0"/>
      <w:marBottom w:val="0"/>
      <w:divBdr>
        <w:top w:val="none" w:sz="0" w:space="0" w:color="auto"/>
        <w:left w:val="none" w:sz="0" w:space="0" w:color="auto"/>
        <w:bottom w:val="none" w:sz="0" w:space="0" w:color="auto"/>
        <w:right w:val="none" w:sz="0" w:space="0" w:color="auto"/>
      </w:divBdr>
    </w:div>
    <w:div w:id="18415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A97F-3B7E-4CED-A254-0146CFF6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Kuleczka</dc:creator>
  <cp:lastModifiedBy>Joanna Fryczyńska</cp:lastModifiedBy>
  <cp:revision>3</cp:revision>
  <cp:lastPrinted>2020-02-11T09:29:00Z</cp:lastPrinted>
  <dcterms:created xsi:type="dcterms:W3CDTF">2021-02-19T22:30:00Z</dcterms:created>
  <dcterms:modified xsi:type="dcterms:W3CDTF">2021-03-01T07:03:00Z</dcterms:modified>
</cp:coreProperties>
</file>