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3830" w14:textId="77777777" w:rsidR="00EA59E4" w:rsidRPr="00E90C58" w:rsidRDefault="00EA59E4" w:rsidP="00E90C58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E90C58">
        <w:rPr>
          <w:rFonts w:ascii="Verdana" w:hAnsi="Verdana"/>
          <w:b/>
          <w:sz w:val="16"/>
          <w:szCs w:val="16"/>
        </w:rPr>
        <w:t>Załącznik do Umowy pożyczki</w:t>
      </w:r>
    </w:p>
    <w:p w14:paraId="0B186A2C" w14:textId="77777777" w:rsidR="00EA59E4" w:rsidRPr="007510B9" w:rsidRDefault="00EA59E4" w:rsidP="00E90C58">
      <w:pPr>
        <w:spacing w:before="240" w:after="240" w:line="240" w:lineRule="auto"/>
        <w:jc w:val="center"/>
        <w:rPr>
          <w:rFonts w:ascii="Verdana" w:hAnsi="Verdana"/>
          <w:b/>
          <w:sz w:val="20"/>
          <w:szCs w:val="20"/>
        </w:rPr>
      </w:pPr>
      <w:r w:rsidRPr="007510B9">
        <w:rPr>
          <w:rFonts w:ascii="Verdana" w:hAnsi="Verdana"/>
          <w:b/>
          <w:sz w:val="20"/>
          <w:szCs w:val="20"/>
        </w:rPr>
        <w:t xml:space="preserve">Karta Produktu </w:t>
      </w:r>
      <w:r w:rsidR="00E02C03" w:rsidRPr="007510B9">
        <w:rPr>
          <w:rFonts w:ascii="Verdana" w:hAnsi="Verdana"/>
          <w:b/>
          <w:sz w:val="20"/>
          <w:szCs w:val="20"/>
        </w:rPr>
        <w:t>Mała Pożyczka Inwestycyjna</w:t>
      </w:r>
      <w:r w:rsidR="006408E2" w:rsidRPr="007510B9">
        <w:rPr>
          <w:rFonts w:ascii="Verdana" w:hAnsi="Verdana"/>
          <w:b/>
          <w:sz w:val="20"/>
          <w:szCs w:val="20"/>
        </w:rPr>
        <w:t xml:space="preserve"> –</w:t>
      </w:r>
      <w:r w:rsidR="00E02C03" w:rsidRPr="007510B9">
        <w:rPr>
          <w:rFonts w:ascii="Verdana" w:hAnsi="Verdana"/>
          <w:b/>
          <w:sz w:val="20"/>
          <w:szCs w:val="20"/>
        </w:rPr>
        <w:t xml:space="preserve"> </w:t>
      </w:r>
      <w:r w:rsidR="006408E2" w:rsidRPr="007510B9">
        <w:rPr>
          <w:rFonts w:ascii="Verdana" w:hAnsi="Verdana"/>
          <w:b/>
          <w:sz w:val="20"/>
          <w:szCs w:val="20"/>
        </w:rPr>
        <w:t>„MAŁA POŻYCZKA INWESTYCYJNA2”</w:t>
      </w:r>
    </w:p>
    <w:p w14:paraId="1DC6CFE1" w14:textId="73EEEA49" w:rsidR="00E90C58" w:rsidRPr="00E90C58" w:rsidRDefault="00B812EA" w:rsidP="00BA418C">
      <w:pP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I. </w:t>
      </w:r>
      <w:r w:rsidR="00E90C58" w:rsidRPr="00E90C58">
        <w:rPr>
          <w:rFonts w:ascii="Verdana" w:hAnsi="Verdana"/>
          <w:b/>
          <w:sz w:val="16"/>
          <w:szCs w:val="16"/>
        </w:rPr>
        <w:t>Podstawowe parametry Małej Pożyczki Inwestycyjnej (dalej Pożyczki)</w:t>
      </w:r>
    </w:p>
    <w:p w14:paraId="2CA80FE2" w14:textId="7777777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Wartość Pożyczki udzielonej jednemu Ostatecznemu Odbiorcy, co do zasady nie powinna przekroczyć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kwoty 500 000,00 zł.</w:t>
      </w:r>
    </w:p>
    <w:p w14:paraId="421BCC74" w14:textId="7777777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Wkład własny Ostatecznego Odbiorcy nie jest wymagany.</w:t>
      </w:r>
    </w:p>
    <w:p w14:paraId="62E76D25" w14:textId="7777777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Maksymalny termin na wypłatę całkowitej kwoty Pożyczki Ostatecznemu Odbiorcy co do zasady wynosi 180 dni kalendarzowych, a jeśli na realizację danej Inwestycji negatywny wpływ ma epidemia COVID-19 – 270 dni od dnia zawarcia Umowy Inwestycyjnej.</w:t>
      </w:r>
    </w:p>
    <w:p w14:paraId="785FB70F" w14:textId="7777777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Maksymalny okres spłaty Pożyczki nie może być dłuższy niż:</w:t>
      </w:r>
    </w:p>
    <w:p w14:paraId="23C0C148" w14:textId="25A109C5" w:rsidR="00E90C58" w:rsidRDefault="00E90C58" w:rsidP="00E90C58">
      <w:pPr>
        <w:pStyle w:val="Akapitzlist"/>
        <w:numPr>
          <w:ilvl w:val="0"/>
          <w:numId w:val="26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84 miesiące, od momentu jej uruchomienia, tj. wypłaty jakiejkolwiek kwoty Pożyczki. W przypadku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Ostatecznych Odbiorców, którzy są dotknięci negatywnymi skutkami epidemii COVID-19, na ich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uzasadniony wniosek, okres spłaty Pożyczek może zostać przedłużony o nie więcej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niż 1</w:t>
      </w:r>
      <w:r w:rsidR="002238B6">
        <w:rPr>
          <w:rFonts w:ascii="Verdana" w:hAnsi="Verdana"/>
          <w:bCs/>
          <w:sz w:val="16"/>
          <w:szCs w:val="16"/>
        </w:rPr>
        <w:t>8</w:t>
      </w:r>
      <w:r w:rsidRPr="00E90C58">
        <w:rPr>
          <w:rFonts w:ascii="Verdana" w:hAnsi="Verdana"/>
          <w:bCs/>
          <w:sz w:val="16"/>
          <w:szCs w:val="16"/>
        </w:rPr>
        <w:t xml:space="preserve"> miesięcy. Wydłużenie okresu spłaty w związku </w:t>
      </w:r>
      <w:r w:rsidR="00FA058D">
        <w:rPr>
          <w:rFonts w:ascii="Verdana" w:hAnsi="Verdana"/>
          <w:bCs/>
          <w:sz w:val="16"/>
          <w:szCs w:val="16"/>
        </w:rPr>
        <w:br/>
      </w:r>
      <w:r w:rsidRPr="00E90C58">
        <w:rPr>
          <w:rFonts w:ascii="Verdana" w:hAnsi="Verdana"/>
          <w:bCs/>
          <w:sz w:val="16"/>
          <w:szCs w:val="16"/>
        </w:rPr>
        <w:t>z karencją dodatkową lub wakacjami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kredytowymi, o których mowa odpowiednio w pkt</w:t>
      </w:r>
      <w:r w:rsidR="00E8224A">
        <w:rPr>
          <w:rFonts w:ascii="Verdana" w:hAnsi="Verdana"/>
          <w:bCs/>
          <w:sz w:val="16"/>
          <w:szCs w:val="16"/>
        </w:rPr>
        <w:t>.</w:t>
      </w:r>
      <w:r w:rsidRPr="00E90C58">
        <w:rPr>
          <w:rFonts w:ascii="Verdana" w:hAnsi="Verdana"/>
          <w:bCs/>
          <w:sz w:val="16"/>
          <w:szCs w:val="16"/>
        </w:rPr>
        <w:t xml:space="preserve"> I.6 i</w:t>
      </w:r>
      <w:r w:rsidR="002238B6">
        <w:rPr>
          <w:rFonts w:ascii="Verdana" w:hAnsi="Verdana"/>
          <w:bCs/>
          <w:sz w:val="16"/>
          <w:szCs w:val="16"/>
        </w:rPr>
        <w:t xml:space="preserve"> pkt</w:t>
      </w:r>
      <w:r w:rsidR="00E8224A">
        <w:rPr>
          <w:rFonts w:ascii="Verdana" w:hAnsi="Verdana"/>
          <w:bCs/>
          <w:sz w:val="16"/>
          <w:szCs w:val="16"/>
        </w:rPr>
        <w:t>.</w:t>
      </w:r>
      <w:r w:rsidR="002238B6">
        <w:rPr>
          <w:rFonts w:ascii="Verdana" w:hAnsi="Verdana"/>
          <w:bCs/>
          <w:sz w:val="16"/>
          <w:szCs w:val="16"/>
        </w:rPr>
        <w:t xml:space="preserve"> I.9, wlicza się w limit 18</w:t>
      </w:r>
      <w:r w:rsidRPr="00E90C58">
        <w:rPr>
          <w:rFonts w:ascii="Verdana" w:hAnsi="Verdana"/>
          <w:bCs/>
          <w:sz w:val="16"/>
          <w:szCs w:val="16"/>
        </w:rPr>
        <w:t xml:space="preserve"> miesięcy,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o którym mowa w zdaniu poprzedzającym.</w:t>
      </w:r>
    </w:p>
    <w:p w14:paraId="49F830D2" w14:textId="227697B5" w:rsidR="00E90C58" w:rsidRPr="00E90C58" w:rsidRDefault="00E90C58" w:rsidP="00E90C58">
      <w:pPr>
        <w:pStyle w:val="Akapitzlist"/>
        <w:numPr>
          <w:ilvl w:val="0"/>
          <w:numId w:val="26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72 miesiące od momentu jej uruchomienia – w przypadku Pożyczek udzielanych na podstawie Rozporządzenia Ministra Funduszy i Polityki Regionalnej z dnia 14 kwietnia 2020 r. </w:t>
      </w:r>
      <w:r w:rsidR="002238B6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2238B6">
        <w:rPr>
          <w:rFonts w:ascii="Verdana" w:hAnsi="Verdana"/>
          <w:bCs/>
          <w:sz w:val="16"/>
          <w:szCs w:val="16"/>
        </w:rPr>
        <w:t>późn</w:t>
      </w:r>
      <w:proofErr w:type="spellEnd"/>
      <w:r w:rsidR="002238B6">
        <w:rPr>
          <w:rFonts w:ascii="Verdana" w:hAnsi="Verdana"/>
          <w:bCs/>
          <w:sz w:val="16"/>
          <w:szCs w:val="16"/>
        </w:rPr>
        <w:t xml:space="preserve">. zmianami </w:t>
      </w:r>
      <w:r w:rsidRPr="00E90C58">
        <w:rPr>
          <w:rFonts w:ascii="Verdana" w:hAnsi="Verdana"/>
          <w:bCs/>
          <w:sz w:val="16"/>
          <w:szCs w:val="16"/>
        </w:rPr>
        <w:t xml:space="preserve">w sprawie udzielania pomocy </w:t>
      </w:r>
      <w:r w:rsidR="00FA058D">
        <w:rPr>
          <w:rFonts w:ascii="Verdana" w:hAnsi="Verdana"/>
          <w:bCs/>
          <w:sz w:val="16"/>
          <w:szCs w:val="16"/>
        </w:rPr>
        <w:br/>
      </w:r>
      <w:r w:rsidRPr="00E90C58">
        <w:rPr>
          <w:rFonts w:ascii="Verdana" w:hAnsi="Verdana"/>
          <w:bCs/>
          <w:sz w:val="16"/>
          <w:szCs w:val="16"/>
        </w:rPr>
        <w:t>z instrumentów finansowych w ramach programów operacyjnych na lata 2014-2020 w celu wspierania polskiej gospodarki w związku z wystąpieniem pandemii COVID-19.</w:t>
      </w:r>
    </w:p>
    <w:p w14:paraId="7C2821E0" w14:textId="7777777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Maksymalna karencja podstawowa w spłacie kapitału Pożyczki wynosi 6 miesięcy od dnia jej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uruchomienia, przy czym karencja podstawowa nie wydłuża okresu spłaty Pożyczki.</w:t>
      </w:r>
    </w:p>
    <w:p w14:paraId="396760C6" w14:textId="6970FD22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W terminie do 3</w:t>
      </w:r>
      <w:r w:rsidR="002238B6">
        <w:rPr>
          <w:rFonts w:ascii="Verdana" w:hAnsi="Verdana"/>
          <w:bCs/>
          <w:sz w:val="16"/>
          <w:szCs w:val="16"/>
        </w:rPr>
        <w:t>0</w:t>
      </w:r>
      <w:r w:rsidRPr="00E90C58">
        <w:rPr>
          <w:rFonts w:ascii="Verdana" w:hAnsi="Verdana"/>
          <w:bCs/>
          <w:sz w:val="16"/>
          <w:szCs w:val="16"/>
        </w:rPr>
        <w:t xml:space="preserve"> </w:t>
      </w:r>
      <w:r w:rsidR="002238B6">
        <w:rPr>
          <w:rFonts w:ascii="Verdana" w:hAnsi="Verdana"/>
          <w:bCs/>
          <w:sz w:val="16"/>
          <w:szCs w:val="16"/>
        </w:rPr>
        <w:t>czerwca 2021</w:t>
      </w:r>
      <w:r w:rsidRPr="00E90C58">
        <w:rPr>
          <w:rFonts w:ascii="Verdana" w:hAnsi="Verdana"/>
          <w:bCs/>
          <w:sz w:val="16"/>
          <w:szCs w:val="16"/>
        </w:rPr>
        <w:t xml:space="preserve"> r</w:t>
      </w:r>
      <w:r w:rsidR="003070CA">
        <w:rPr>
          <w:rFonts w:ascii="Verdana" w:hAnsi="Verdana"/>
          <w:bCs/>
          <w:sz w:val="16"/>
          <w:szCs w:val="16"/>
        </w:rPr>
        <w:t>oku</w:t>
      </w:r>
      <w:r w:rsidRPr="00E90C58">
        <w:rPr>
          <w:rFonts w:ascii="Verdana" w:hAnsi="Verdana"/>
          <w:bCs/>
          <w:sz w:val="16"/>
          <w:szCs w:val="16"/>
        </w:rPr>
        <w:t xml:space="preserve"> </w:t>
      </w:r>
      <w:r w:rsidR="00F909C3">
        <w:rPr>
          <w:rFonts w:ascii="Verdana" w:hAnsi="Verdana"/>
          <w:bCs/>
          <w:sz w:val="16"/>
          <w:szCs w:val="16"/>
        </w:rPr>
        <w:t>FUNDUSZ</w:t>
      </w:r>
      <w:r w:rsidRPr="00E90C58">
        <w:rPr>
          <w:rFonts w:ascii="Verdana" w:hAnsi="Verdana"/>
          <w:bCs/>
          <w:sz w:val="16"/>
          <w:szCs w:val="16"/>
        </w:rPr>
        <w:t xml:space="preserve"> może udzielić Ostatecznemu Odbiorcy karencji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dodatkowej w spłacie kapitału Pożyczki, przy czym:</w:t>
      </w:r>
    </w:p>
    <w:p w14:paraId="1DD0658C" w14:textId="120A7026" w:rsidR="00E90C58" w:rsidRPr="002238B6" w:rsidRDefault="00E90C58" w:rsidP="00E90C58">
      <w:pPr>
        <w:pStyle w:val="Akapitzlist"/>
        <w:numPr>
          <w:ilvl w:val="0"/>
          <w:numId w:val="25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2238B6">
        <w:rPr>
          <w:rFonts w:ascii="Verdana" w:hAnsi="Verdana"/>
          <w:bCs/>
          <w:sz w:val="16"/>
          <w:szCs w:val="16"/>
        </w:rPr>
        <w:t xml:space="preserve">maksymalny okres karencji dodatkowej wynosi </w:t>
      </w:r>
      <w:r w:rsidR="002238B6" w:rsidRPr="002238B6">
        <w:rPr>
          <w:rFonts w:ascii="Verdana" w:hAnsi="Verdana"/>
          <w:sz w:val="16"/>
          <w:szCs w:val="16"/>
        </w:rPr>
        <w:t xml:space="preserve">łącznie 12 miesięcy z zastrzeżeniem, że każdorazowa decyzja </w:t>
      </w:r>
      <w:r w:rsidR="002238B6">
        <w:rPr>
          <w:rFonts w:ascii="Verdana" w:hAnsi="Verdana"/>
          <w:sz w:val="16"/>
          <w:szCs w:val="16"/>
        </w:rPr>
        <w:t xml:space="preserve">                    </w:t>
      </w:r>
      <w:r w:rsidR="002238B6" w:rsidRPr="002238B6">
        <w:rPr>
          <w:rFonts w:ascii="Verdana" w:hAnsi="Verdana"/>
          <w:sz w:val="16"/>
          <w:szCs w:val="16"/>
        </w:rPr>
        <w:t xml:space="preserve">o udzieleniu przez </w:t>
      </w:r>
      <w:r w:rsidR="00BC6E1B" w:rsidRPr="002238B6">
        <w:rPr>
          <w:rFonts w:ascii="Verdana" w:hAnsi="Verdana"/>
          <w:sz w:val="16"/>
          <w:szCs w:val="16"/>
        </w:rPr>
        <w:t>FUNDUSZ</w:t>
      </w:r>
      <w:r w:rsidR="002238B6" w:rsidRPr="002238B6">
        <w:rPr>
          <w:rFonts w:ascii="Verdana" w:hAnsi="Verdana"/>
          <w:sz w:val="16"/>
          <w:szCs w:val="16"/>
        </w:rPr>
        <w:t xml:space="preserve"> karencji dodatkowej nie może dotyczyć okresu dłuższego niż 6 miesięcy</w:t>
      </w:r>
      <w:r w:rsidRPr="002238B6">
        <w:rPr>
          <w:rFonts w:ascii="Verdana" w:hAnsi="Verdana"/>
          <w:bCs/>
          <w:sz w:val="16"/>
          <w:szCs w:val="16"/>
        </w:rPr>
        <w:t>,</w:t>
      </w:r>
    </w:p>
    <w:p w14:paraId="27396438" w14:textId="61C45C6B" w:rsidR="00E90C58" w:rsidRDefault="00E90C58" w:rsidP="00E90C58">
      <w:pPr>
        <w:pStyle w:val="Akapitzlist"/>
        <w:numPr>
          <w:ilvl w:val="0"/>
          <w:numId w:val="25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okres karencji dodatkowej rozpocznie się najpóźniej 3</w:t>
      </w:r>
      <w:r w:rsidR="002238B6">
        <w:rPr>
          <w:rFonts w:ascii="Verdana" w:hAnsi="Verdana"/>
          <w:bCs/>
          <w:sz w:val="16"/>
          <w:szCs w:val="16"/>
        </w:rPr>
        <w:t>0</w:t>
      </w:r>
      <w:r w:rsidRPr="00E90C58">
        <w:rPr>
          <w:rFonts w:ascii="Verdana" w:hAnsi="Verdana"/>
          <w:bCs/>
          <w:sz w:val="16"/>
          <w:szCs w:val="16"/>
        </w:rPr>
        <w:t xml:space="preserve"> </w:t>
      </w:r>
      <w:r w:rsidR="002238B6">
        <w:rPr>
          <w:rFonts w:ascii="Verdana" w:hAnsi="Verdana"/>
          <w:bCs/>
          <w:sz w:val="16"/>
          <w:szCs w:val="16"/>
        </w:rPr>
        <w:t xml:space="preserve">czerwca </w:t>
      </w:r>
      <w:r w:rsidRPr="00E90C58">
        <w:rPr>
          <w:rFonts w:ascii="Verdana" w:hAnsi="Verdana"/>
          <w:bCs/>
          <w:sz w:val="16"/>
          <w:szCs w:val="16"/>
        </w:rPr>
        <w:t>202</w:t>
      </w:r>
      <w:r w:rsidR="002238B6">
        <w:rPr>
          <w:rFonts w:ascii="Verdana" w:hAnsi="Verdana"/>
          <w:bCs/>
          <w:sz w:val="16"/>
          <w:szCs w:val="16"/>
        </w:rPr>
        <w:t>1</w:t>
      </w:r>
      <w:r w:rsidRPr="00E90C58">
        <w:rPr>
          <w:rFonts w:ascii="Verdana" w:hAnsi="Verdana"/>
          <w:bCs/>
          <w:sz w:val="16"/>
          <w:szCs w:val="16"/>
        </w:rPr>
        <w:t xml:space="preserve"> roku.</w:t>
      </w:r>
    </w:p>
    <w:p w14:paraId="0190B701" w14:textId="432F30B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Udzielenie karencji dodatkowej następuje na podstawie złożonego do </w:t>
      </w:r>
      <w:r w:rsidR="00F909C3">
        <w:rPr>
          <w:rFonts w:ascii="Verdana" w:hAnsi="Verdana"/>
          <w:bCs/>
          <w:sz w:val="16"/>
          <w:szCs w:val="16"/>
        </w:rPr>
        <w:t>FUNDUSZU</w:t>
      </w:r>
      <w:r w:rsidR="00F909C3" w:rsidRPr="00E90C58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wniosku Ostatecznego Odbiorcy, uzasadnionego pogorszeniem się jego sytuacji finansowej w związku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z konsekwencjami epidemii COVID-19 w kraju </w:t>
      </w:r>
      <w:r w:rsidR="00FA058D">
        <w:rPr>
          <w:rFonts w:ascii="Verdana" w:hAnsi="Verdana"/>
          <w:bCs/>
          <w:sz w:val="16"/>
          <w:szCs w:val="16"/>
        </w:rPr>
        <w:br/>
      </w:r>
      <w:r w:rsidRPr="00E90C58">
        <w:rPr>
          <w:rFonts w:ascii="Verdana" w:hAnsi="Verdana"/>
          <w:bCs/>
          <w:sz w:val="16"/>
          <w:szCs w:val="16"/>
        </w:rPr>
        <w:t>lub na świecie.</w:t>
      </w:r>
    </w:p>
    <w:p w14:paraId="7E93A16D" w14:textId="5FFAED07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Z zastrzeżeniem pkt. I.4, na wniosek Ostatecznego Odbiorcy okres karencji dodatkowej może wydłużyć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ust</w:t>
      </w:r>
      <w:r w:rsidR="00BC6E1B">
        <w:rPr>
          <w:rFonts w:ascii="Verdana" w:hAnsi="Verdana"/>
          <w:bCs/>
          <w:sz w:val="16"/>
          <w:szCs w:val="16"/>
        </w:rPr>
        <w:t xml:space="preserve">alony okres spłaty </w:t>
      </w:r>
      <w:r w:rsidRPr="00E90C58">
        <w:rPr>
          <w:rFonts w:ascii="Verdana" w:hAnsi="Verdana"/>
          <w:bCs/>
          <w:sz w:val="16"/>
          <w:szCs w:val="16"/>
        </w:rPr>
        <w:t>Pożyczki.</w:t>
      </w:r>
    </w:p>
    <w:p w14:paraId="10FCEE12" w14:textId="15265EFA" w:rsidR="00E90C58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Do 3</w:t>
      </w:r>
      <w:r w:rsidR="00BC6E1B">
        <w:rPr>
          <w:rFonts w:ascii="Verdana" w:hAnsi="Verdana"/>
          <w:bCs/>
          <w:sz w:val="16"/>
          <w:szCs w:val="16"/>
        </w:rPr>
        <w:t>0</w:t>
      </w:r>
      <w:r w:rsidRPr="00E90C58">
        <w:rPr>
          <w:rFonts w:ascii="Verdana" w:hAnsi="Verdana"/>
          <w:bCs/>
          <w:sz w:val="16"/>
          <w:szCs w:val="16"/>
        </w:rPr>
        <w:t xml:space="preserve"> </w:t>
      </w:r>
      <w:r w:rsidR="00BC6E1B">
        <w:rPr>
          <w:rFonts w:ascii="Verdana" w:hAnsi="Verdana"/>
          <w:bCs/>
          <w:sz w:val="16"/>
          <w:szCs w:val="16"/>
        </w:rPr>
        <w:t>czerwca</w:t>
      </w:r>
      <w:r w:rsidRPr="00E90C58">
        <w:rPr>
          <w:rFonts w:ascii="Verdana" w:hAnsi="Verdana"/>
          <w:bCs/>
          <w:sz w:val="16"/>
          <w:szCs w:val="16"/>
        </w:rPr>
        <w:t xml:space="preserve"> 202</w:t>
      </w:r>
      <w:r w:rsidR="00BC6E1B">
        <w:rPr>
          <w:rFonts w:ascii="Verdana" w:hAnsi="Verdana"/>
          <w:bCs/>
          <w:sz w:val="16"/>
          <w:szCs w:val="16"/>
        </w:rPr>
        <w:t>1</w:t>
      </w:r>
      <w:r w:rsidRPr="00E90C58">
        <w:rPr>
          <w:rFonts w:ascii="Verdana" w:hAnsi="Verdana"/>
          <w:bCs/>
          <w:sz w:val="16"/>
          <w:szCs w:val="16"/>
        </w:rPr>
        <w:t xml:space="preserve"> r</w:t>
      </w:r>
      <w:r w:rsidR="003070CA">
        <w:rPr>
          <w:rFonts w:ascii="Verdana" w:hAnsi="Verdana"/>
          <w:bCs/>
          <w:sz w:val="16"/>
          <w:szCs w:val="16"/>
        </w:rPr>
        <w:t>oku</w:t>
      </w:r>
      <w:r w:rsidRPr="00E90C58">
        <w:rPr>
          <w:rFonts w:ascii="Verdana" w:hAnsi="Verdana"/>
          <w:bCs/>
          <w:sz w:val="16"/>
          <w:szCs w:val="16"/>
        </w:rPr>
        <w:t xml:space="preserve"> </w:t>
      </w:r>
      <w:r w:rsidR="00F909C3">
        <w:rPr>
          <w:rFonts w:ascii="Verdana" w:hAnsi="Verdana"/>
          <w:bCs/>
          <w:sz w:val="16"/>
          <w:szCs w:val="16"/>
        </w:rPr>
        <w:t>FUNDUSZ</w:t>
      </w:r>
      <w:r w:rsidR="00F909C3" w:rsidRPr="00E90C58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może udzielić Ostatecznemu Odbiorcy wakacji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kredytowych, polegających </w:t>
      </w:r>
      <w:r w:rsidR="003070CA">
        <w:rPr>
          <w:rFonts w:ascii="Verdana" w:hAnsi="Verdana"/>
          <w:bCs/>
          <w:sz w:val="16"/>
          <w:szCs w:val="16"/>
        </w:rPr>
        <w:t xml:space="preserve">                             </w:t>
      </w:r>
      <w:r w:rsidRPr="00E90C58">
        <w:rPr>
          <w:rFonts w:ascii="Verdana" w:hAnsi="Verdana"/>
          <w:bCs/>
          <w:sz w:val="16"/>
          <w:szCs w:val="16"/>
        </w:rPr>
        <w:t>na zawieszeniu obowiązku spłaty części odsetkowej, części kapitałowej lub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całej raty kapitałowo-odsetkowej Pożyczki, </w:t>
      </w:r>
      <w:r w:rsidR="00FA058D">
        <w:rPr>
          <w:rFonts w:ascii="Verdana" w:hAnsi="Verdana"/>
          <w:bCs/>
          <w:sz w:val="16"/>
          <w:szCs w:val="16"/>
        </w:rPr>
        <w:br/>
      </w:r>
      <w:r w:rsidRPr="00E90C58">
        <w:rPr>
          <w:rFonts w:ascii="Verdana" w:hAnsi="Verdana"/>
          <w:bCs/>
          <w:sz w:val="16"/>
          <w:szCs w:val="16"/>
        </w:rPr>
        <w:t>przy czym:</w:t>
      </w:r>
    </w:p>
    <w:p w14:paraId="2375BFB4" w14:textId="0DF14FC3" w:rsidR="00E90C58" w:rsidRDefault="00E90C58" w:rsidP="00E90C58">
      <w:pPr>
        <w:pStyle w:val="Akapitzlist"/>
        <w:numPr>
          <w:ilvl w:val="0"/>
          <w:numId w:val="27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maksymalny okres wakacji </w:t>
      </w:r>
      <w:r w:rsidRPr="00BC6E1B">
        <w:rPr>
          <w:rFonts w:ascii="Verdana" w:hAnsi="Verdana"/>
          <w:bCs/>
          <w:sz w:val="16"/>
          <w:szCs w:val="16"/>
        </w:rPr>
        <w:t xml:space="preserve">kredytowych </w:t>
      </w:r>
      <w:r w:rsidR="00BC6E1B" w:rsidRPr="00BC6E1B">
        <w:rPr>
          <w:rFonts w:ascii="Verdana" w:hAnsi="Verdana"/>
          <w:sz w:val="16"/>
          <w:szCs w:val="16"/>
        </w:rPr>
        <w:t>wynosi łącznie 12 miesięcy z zastrzeżeniem, że każdorazowa decyzja                            o udzieleniu przez FUNDUSZ wakacji kredytowych nie może dotyczyć okresu dłuższego niż 6 miesięcy</w:t>
      </w:r>
      <w:r w:rsidRPr="00BC6E1B">
        <w:rPr>
          <w:rFonts w:ascii="Verdana" w:hAnsi="Verdana"/>
          <w:bCs/>
          <w:sz w:val="16"/>
          <w:szCs w:val="16"/>
        </w:rPr>
        <w:t>,</w:t>
      </w:r>
    </w:p>
    <w:p w14:paraId="79C18868" w14:textId="6B30F6E0" w:rsidR="00E90C58" w:rsidRDefault="00E90C58" w:rsidP="00E90C58">
      <w:pPr>
        <w:pStyle w:val="Akapitzlist"/>
        <w:numPr>
          <w:ilvl w:val="0"/>
          <w:numId w:val="27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okres wakacji kredytowych rozpocznie się najpóźniej 3</w:t>
      </w:r>
      <w:r w:rsidR="00BC6E1B">
        <w:rPr>
          <w:rFonts w:ascii="Verdana" w:hAnsi="Verdana"/>
          <w:bCs/>
          <w:sz w:val="16"/>
          <w:szCs w:val="16"/>
        </w:rPr>
        <w:t>0</w:t>
      </w:r>
      <w:r w:rsidRPr="00E90C58">
        <w:rPr>
          <w:rFonts w:ascii="Verdana" w:hAnsi="Verdana"/>
          <w:bCs/>
          <w:sz w:val="16"/>
          <w:szCs w:val="16"/>
        </w:rPr>
        <w:t xml:space="preserve"> </w:t>
      </w:r>
      <w:r w:rsidR="00BC6E1B">
        <w:rPr>
          <w:rFonts w:ascii="Verdana" w:hAnsi="Verdana"/>
          <w:bCs/>
          <w:sz w:val="16"/>
          <w:szCs w:val="16"/>
        </w:rPr>
        <w:t>czerwca 2021</w:t>
      </w:r>
      <w:r w:rsidRPr="00E90C58">
        <w:rPr>
          <w:rFonts w:ascii="Verdana" w:hAnsi="Verdana"/>
          <w:bCs/>
          <w:sz w:val="16"/>
          <w:szCs w:val="16"/>
        </w:rPr>
        <w:t xml:space="preserve"> roku.</w:t>
      </w:r>
    </w:p>
    <w:p w14:paraId="7B178FCD" w14:textId="56B59AD3" w:rsidR="00B812EA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Udzielenie wakacji kredytowych następuje na podstawie złożonego </w:t>
      </w:r>
      <w:r w:rsidR="00F909C3">
        <w:rPr>
          <w:rFonts w:ascii="Verdana" w:hAnsi="Verdana"/>
          <w:bCs/>
          <w:sz w:val="16"/>
          <w:szCs w:val="16"/>
        </w:rPr>
        <w:t>do FUNDUSZU</w:t>
      </w:r>
      <w:r w:rsidR="00F909C3" w:rsidRP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wniosku Ostatecznego Odbiorcy, uzasadnionego pogorszeniem się jego sytuacji finansowej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w związku z konsekwencjami epidemii COVID-19 w kraju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lub na świecie.</w:t>
      </w:r>
    </w:p>
    <w:p w14:paraId="34DCFF71" w14:textId="724F4BB0" w:rsidR="00E90C58" w:rsidRPr="00B812EA" w:rsidRDefault="00E90C58" w:rsidP="00E90C58">
      <w:pPr>
        <w:pStyle w:val="Akapitzlist"/>
        <w:numPr>
          <w:ilvl w:val="0"/>
          <w:numId w:val="24"/>
        </w:numPr>
        <w:spacing w:line="240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Z zastrzeżeniem pkt. I.4, na wniosek Ostatecznego Odbiorcy okres wakacji kredytowych może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wyd</w:t>
      </w:r>
      <w:r w:rsidR="00BC6E1B">
        <w:rPr>
          <w:rFonts w:ascii="Verdana" w:hAnsi="Verdana"/>
          <w:bCs/>
          <w:sz w:val="16"/>
          <w:szCs w:val="16"/>
        </w:rPr>
        <w:t xml:space="preserve">łużyć okres spłaty </w:t>
      </w:r>
      <w:r w:rsidRPr="00B812EA">
        <w:rPr>
          <w:rFonts w:ascii="Verdana" w:hAnsi="Verdana"/>
          <w:bCs/>
          <w:sz w:val="16"/>
          <w:szCs w:val="16"/>
        </w:rPr>
        <w:t>Pożyczki.</w:t>
      </w:r>
    </w:p>
    <w:p w14:paraId="492A9603" w14:textId="66944C10" w:rsidR="00E90C58" w:rsidRPr="00B812EA" w:rsidRDefault="00E90C58" w:rsidP="00BA418C">
      <w:pP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B812EA">
        <w:rPr>
          <w:rFonts w:ascii="Verdana" w:hAnsi="Verdana"/>
          <w:b/>
          <w:sz w:val="16"/>
          <w:szCs w:val="16"/>
        </w:rPr>
        <w:t>II.</w:t>
      </w:r>
      <w:r w:rsidR="00B812EA" w:rsidRPr="00B812EA">
        <w:rPr>
          <w:rFonts w:ascii="Verdana" w:hAnsi="Verdana"/>
          <w:b/>
          <w:sz w:val="16"/>
          <w:szCs w:val="16"/>
        </w:rPr>
        <w:t xml:space="preserve"> </w:t>
      </w:r>
      <w:r w:rsidRPr="00B812EA">
        <w:rPr>
          <w:rFonts w:ascii="Verdana" w:hAnsi="Verdana"/>
          <w:b/>
          <w:sz w:val="16"/>
          <w:szCs w:val="16"/>
        </w:rPr>
        <w:t>Zasady dotyczące udzielania i udokumentowania Pożyczki</w:t>
      </w:r>
    </w:p>
    <w:p w14:paraId="6B1864D5" w14:textId="256A06E4" w:rsidR="00B812EA" w:rsidRDefault="00E90C58" w:rsidP="00E90C58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Udzielenie Pożyczki nie może być uzależnione od zawarcia przez Ostatecznego Odbiorcę dodatkowych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umów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(w szczególności dotyczących zakupu dodatkowych usług, produktów finansowych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lub ubezpieczeniowych) z </w:t>
      </w:r>
      <w:r w:rsidR="007510B9">
        <w:rPr>
          <w:rFonts w:ascii="Verdana" w:hAnsi="Verdana"/>
          <w:bCs/>
          <w:sz w:val="16"/>
          <w:szCs w:val="16"/>
        </w:rPr>
        <w:t>FUNDUSZEM</w:t>
      </w:r>
      <w:r w:rsidRPr="00B812EA">
        <w:rPr>
          <w:rFonts w:ascii="Verdana" w:hAnsi="Verdana"/>
          <w:bCs/>
          <w:sz w:val="16"/>
          <w:szCs w:val="16"/>
        </w:rPr>
        <w:t xml:space="preserve">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lub podmiotem partnerskim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lub powiązanym w stosunku do </w:t>
      </w:r>
      <w:r w:rsidR="007510B9">
        <w:rPr>
          <w:rFonts w:ascii="Verdana" w:hAnsi="Verdana"/>
          <w:bCs/>
          <w:sz w:val="16"/>
          <w:szCs w:val="16"/>
        </w:rPr>
        <w:t xml:space="preserve">FUNDUSZU; </w:t>
      </w:r>
      <w:r w:rsidRPr="00B812EA">
        <w:rPr>
          <w:rFonts w:ascii="Verdana" w:hAnsi="Verdana"/>
          <w:bCs/>
          <w:sz w:val="16"/>
          <w:szCs w:val="16"/>
        </w:rPr>
        <w:t>powyższe nie dotyczy powszechnie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występujących na rynku oraz standardowo stosowanych przez </w:t>
      </w:r>
      <w:r w:rsidR="007510B9">
        <w:rPr>
          <w:rFonts w:ascii="Verdana" w:hAnsi="Verdana"/>
          <w:bCs/>
          <w:sz w:val="16"/>
          <w:szCs w:val="16"/>
        </w:rPr>
        <w:t>FUNDUSZ</w:t>
      </w:r>
      <w:r w:rsidR="007510B9" w:rsidRP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zabezpieczeń ustanawianych przez Ostatecznego Odbiorcę na rzecz </w:t>
      </w:r>
      <w:r w:rsidR="007510B9">
        <w:rPr>
          <w:rFonts w:ascii="Verdana" w:hAnsi="Verdana"/>
          <w:bCs/>
          <w:sz w:val="16"/>
          <w:szCs w:val="16"/>
        </w:rPr>
        <w:t>FUNDUSZU</w:t>
      </w:r>
      <w:r w:rsidR="007510B9" w:rsidRP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 związku z zawieraną umową Pożyczki, z zastrzeżeniem, iż w przypadku zabezpieczenia takiego jak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„cesja praw z polisy ubezpieczeniowej” Ostateczny Odbiorca ma możliwość wyboru oferty spośród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ubezpieczycieli dostępnych na rynku.</w:t>
      </w:r>
    </w:p>
    <w:p w14:paraId="2C9BD8F7" w14:textId="17BF767D" w:rsidR="00B812EA" w:rsidRDefault="00E90C58" w:rsidP="00E90C58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Wydatkowanie środków Pożyczki musi zostać należycie udokumentowane w terminie do 180 dni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od dnia wypłaty pełnej kwoty Pożyczki, przy czym termin 180 dni określa datę, do której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mogą być wystawiane dokumenty potwierdzające wydatkowanie środków. W uzasadnionych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przypadkach i na wniosek Ostatecznego Odbiorcy oraz ze względu na charakter inwestycji, termin ten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może uleć wydłużeniu maksymalnie o kolejne 90 dni a w przypadku Pożyczek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przeznaczonych na cele wskazane w pkt. III.1, jeśli na realizację Inwestycji negatywny wpływ ma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epidemia COVID-19 – 150 dni.</w:t>
      </w:r>
    </w:p>
    <w:p w14:paraId="4AAEBB39" w14:textId="5E943394" w:rsidR="00B812EA" w:rsidRDefault="00E90C58" w:rsidP="00E90C58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Dokumentem potwierdzającym wydatkowanie środków zgodnie z celem, na jaki zostały przyznane jest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faktura lub dokument równoważny w rozumieniu przepisów prawa krajowego</w:t>
      </w:r>
      <w:r w:rsidR="004E2118">
        <w:rPr>
          <w:rFonts w:ascii="Verdana" w:hAnsi="Verdana"/>
          <w:bCs/>
          <w:sz w:val="16"/>
          <w:szCs w:val="16"/>
        </w:rPr>
        <w:t xml:space="preserve">. Dokument taki powinien być </w:t>
      </w:r>
      <w:r w:rsidRPr="00B812EA">
        <w:rPr>
          <w:rFonts w:ascii="Verdana" w:hAnsi="Verdana"/>
          <w:bCs/>
          <w:sz w:val="16"/>
          <w:szCs w:val="16"/>
        </w:rPr>
        <w:t xml:space="preserve">wystawiony </w:t>
      </w:r>
      <w:r w:rsidR="004E2118">
        <w:rPr>
          <w:rFonts w:ascii="Verdana" w:hAnsi="Verdana"/>
          <w:bCs/>
          <w:sz w:val="16"/>
          <w:szCs w:val="16"/>
        </w:rPr>
        <w:t xml:space="preserve">lub przygotowany               </w:t>
      </w:r>
      <w:r w:rsidRPr="00B812EA">
        <w:rPr>
          <w:rFonts w:ascii="Verdana" w:hAnsi="Verdana"/>
          <w:bCs/>
          <w:sz w:val="16"/>
          <w:szCs w:val="16"/>
        </w:rPr>
        <w:t>nie wcześniej niż w dniu złożenia wniosku o udzielenie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Pożyczki. </w:t>
      </w:r>
      <w:r w:rsidR="007510B9">
        <w:rPr>
          <w:rFonts w:ascii="Verdana" w:hAnsi="Verdana"/>
          <w:bCs/>
          <w:sz w:val="16"/>
          <w:szCs w:val="16"/>
        </w:rPr>
        <w:t>FUNDUSZ</w:t>
      </w:r>
      <w:r w:rsidR="007510B9" w:rsidRP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może przyjąć do rozliczenia dokument potwierdzający wydatkowanie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="004E2118">
        <w:rPr>
          <w:rFonts w:ascii="Verdana" w:hAnsi="Verdana"/>
          <w:bCs/>
          <w:sz w:val="16"/>
          <w:szCs w:val="16"/>
        </w:rPr>
        <w:t xml:space="preserve">Pożyczki wystawiony lub przygotowany </w:t>
      </w:r>
      <w:r w:rsidRPr="00B812EA">
        <w:rPr>
          <w:rFonts w:ascii="Verdana" w:hAnsi="Verdana"/>
          <w:bCs/>
          <w:sz w:val="16"/>
          <w:szCs w:val="16"/>
        </w:rPr>
        <w:t xml:space="preserve">z datą wcześniejszą, pod warunkiem, że pozyska </w:t>
      </w:r>
      <w:r w:rsidR="004E2118">
        <w:rPr>
          <w:rFonts w:ascii="Verdana" w:hAnsi="Verdana"/>
          <w:bCs/>
          <w:sz w:val="16"/>
          <w:szCs w:val="16"/>
        </w:rPr>
        <w:t xml:space="preserve">           </w:t>
      </w:r>
      <w:r w:rsidRPr="00B812EA">
        <w:rPr>
          <w:rFonts w:ascii="Verdana" w:hAnsi="Verdana"/>
          <w:bCs/>
          <w:sz w:val="16"/>
          <w:szCs w:val="16"/>
        </w:rPr>
        <w:t>on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wiarygodne dowody, że przedstawiony dokument nie został opłacony przed dniem złożenia wniosku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o udzielenie Pożyczki. Przedstawione w ramach rozliczenia dokumenty powinny w sposób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jednoznaczny potwierdzać, że cała kwota Pożyczki została wykorzystana zgodnie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z przeznaczeniem, na jakie została</w:t>
      </w:r>
      <w:bookmarkStart w:id="0" w:name="_GoBack"/>
      <w:bookmarkEnd w:id="0"/>
      <w:r w:rsidRPr="00B812EA">
        <w:rPr>
          <w:rFonts w:ascii="Verdana" w:hAnsi="Verdana"/>
          <w:bCs/>
          <w:sz w:val="16"/>
          <w:szCs w:val="16"/>
        </w:rPr>
        <w:t xml:space="preserve"> udzielona.</w:t>
      </w:r>
    </w:p>
    <w:p w14:paraId="4EE5D010" w14:textId="670E2C6E" w:rsidR="00B812EA" w:rsidRDefault="00E90C58" w:rsidP="00E90C58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W przypadku Ostatecznych Odbiorców dotkniętych skutkami epidemii COVID-19, dokumentem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potwierdzającym poniesienie wydatków obejmujących dopuszczalne w ramach Pożyczki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finansowanie kapitału obrotowego jest zestawienie wydatków</w:t>
      </w:r>
      <w:r w:rsidR="00B812EA">
        <w:rPr>
          <w:rFonts w:ascii="Verdana" w:hAnsi="Verdana"/>
          <w:bCs/>
          <w:sz w:val="16"/>
          <w:szCs w:val="16"/>
        </w:rPr>
        <w:t>.</w:t>
      </w:r>
    </w:p>
    <w:p w14:paraId="34312140" w14:textId="531FD92C" w:rsidR="00E90C58" w:rsidRPr="00B812EA" w:rsidRDefault="00E90C58" w:rsidP="00E90C58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Wszelka dokumentacja potwierdzająca wydatkowanie środków przez Pożyczkobiorcę powinna być,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co do zasady, sporządzona w języku polskim, a w przypadku dokumentów wystawianych w języku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innym niż język polski, powinna zostać przetłumaczona na język polski przez Pożyczkobiorcę lub na jego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zlecenie.</w:t>
      </w:r>
    </w:p>
    <w:p w14:paraId="21C2CA02" w14:textId="340255EB" w:rsidR="00E90C58" w:rsidRPr="00B812EA" w:rsidRDefault="00E90C58" w:rsidP="00BA418C">
      <w:pP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B812EA">
        <w:rPr>
          <w:rFonts w:ascii="Verdana" w:hAnsi="Verdana"/>
          <w:b/>
          <w:sz w:val="16"/>
          <w:szCs w:val="16"/>
        </w:rPr>
        <w:lastRenderedPageBreak/>
        <w:t>III.</w:t>
      </w:r>
      <w:r w:rsidR="00B812EA">
        <w:rPr>
          <w:rFonts w:ascii="Verdana" w:hAnsi="Verdana"/>
          <w:b/>
          <w:sz w:val="16"/>
          <w:szCs w:val="16"/>
        </w:rPr>
        <w:t xml:space="preserve"> </w:t>
      </w:r>
      <w:r w:rsidRPr="00B812EA">
        <w:rPr>
          <w:rFonts w:ascii="Verdana" w:hAnsi="Verdana"/>
          <w:b/>
          <w:sz w:val="16"/>
          <w:szCs w:val="16"/>
        </w:rPr>
        <w:t>Przeznaczenie finansowania (Cele Inwestycji)</w:t>
      </w:r>
    </w:p>
    <w:p w14:paraId="53A68A5A" w14:textId="77777777" w:rsidR="00B812EA" w:rsidRDefault="00E90C58" w:rsidP="00E90C58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Pożyczki przeznaczone są na finansowanie przedsięwzięć, realizowanych na terenie województwa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wielkopolskiego, mających na celu rozwój bądź wzmocnienie potencjału gospodarczego Ostatecznych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Odbiorców,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zwiększenie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lub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umocnienie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ich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pozycji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na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rynku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lub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podniesienie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ich konkurencyjności m.in. poprzez:</w:t>
      </w:r>
    </w:p>
    <w:p w14:paraId="6AAB26D1" w14:textId="77777777" w:rsidR="00B812EA" w:rsidRDefault="00E90C58" w:rsidP="00E90C58">
      <w:pPr>
        <w:pStyle w:val="Akapitzlist"/>
        <w:numPr>
          <w:ilvl w:val="0"/>
          <w:numId w:val="31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tworzenie nowych przedsiębiorstw, dostarczanie kapitału początkowego lub kapitału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na rozruch lub</w:t>
      </w:r>
    </w:p>
    <w:p w14:paraId="01399A27" w14:textId="77777777" w:rsidR="00B812EA" w:rsidRDefault="00E90C58" w:rsidP="00E90C58">
      <w:pPr>
        <w:pStyle w:val="Akapitzlist"/>
        <w:numPr>
          <w:ilvl w:val="0"/>
          <w:numId w:val="31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rozszerzanie działalności lub</w:t>
      </w:r>
    </w:p>
    <w:p w14:paraId="603FE166" w14:textId="77777777" w:rsidR="00B812EA" w:rsidRDefault="00E90C58" w:rsidP="00E90C58">
      <w:pPr>
        <w:pStyle w:val="Akapitzlist"/>
        <w:numPr>
          <w:ilvl w:val="0"/>
          <w:numId w:val="31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wzmocnienie podstawowej działalności przedsiębiorstwa lub</w:t>
      </w:r>
    </w:p>
    <w:p w14:paraId="51249D8C" w14:textId="77777777" w:rsidR="00B812EA" w:rsidRDefault="00E90C58" w:rsidP="00E90C58">
      <w:pPr>
        <w:pStyle w:val="Akapitzlist"/>
        <w:numPr>
          <w:ilvl w:val="0"/>
          <w:numId w:val="31"/>
        </w:numPr>
        <w:spacing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realizację nowych projektów lub</w:t>
      </w:r>
    </w:p>
    <w:p w14:paraId="043A937F" w14:textId="1A0BC8D7" w:rsidR="00E90C58" w:rsidRPr="00B812EA" w:rsidRDefault="00E90C58" w:rsidP="00AD044A">
      <w:pPr>
        <w:pStyle w:val="Akapitzlist"/>
        <w:numPr>
          <w:ilvl w:val="0"/>
          <w:numId w:val="31"/>
        </w:numPr>
        <w:spacing w:after="0" w:line="240" w:lineRule="auto"/>
        <w:ind w:left="723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przechodzenie przez przedsiębiorstwa na nowe rynki lub na nowe rozwiązania;</w:t>
      </w:r>
    </w:p>
    <w:p w14:paraId="721AADA0" w14:textId="31967C33" w:rsidR="00E90C58" w:rsidRPr="00E90C58" w:rsidRDefault="00E90C58" w:rsidP="00AD044A">
      <w:pPr>
        <w:spacing w:after="0" w:line="240" w:lineRule="auto"/>
        <w:ind w:left="426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w szczególności w ramach inwestycji związanych z wdrażaniem nowych rozwiązań produkcyjnych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i technologicznych, wprowadzaniem nowych i ulepszonych produktów i usług lub zakupem maszyn,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sprzętu produkcyjnego, </w:t>
      </w:r>
      <w:r w:rsidR="00AD044A">
        <w:rPr>
          <w:rFonts w:ascii="Verdana" w:hAnsi="Verdana"/>
          <w:bCs/>
          <w:sz w:val="16"/>
          <w:szCs w:val="16"/>
        </w:rPr>
        <w:t xml:space="preserve">                                   </w:t>
      </w:r>
      <w:r w:rsidRPr="00E90C58">
        <w:rPr>
          <w:rFonts w:ascii="Verdana" w:hAnsi="Verdana"/>
          <w:bCs/>
          <w:sz w:val="16"/>
          <w:szCs w:val="16"/>
        </w:rPr>
        <w:t>w tym umożliwiających wdrażanie innowacji.</w:t>
      </w:r>
    </w:p>
    <w:p w14:paraId="530B9D22" w14:textId="40CB54E5" w:rsidR="00E90C58" w:rsidRPr="00B812EA" w:rsidRDefault="00E90C58" w:rsidP="00E90C58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Niezależnie od pkt</w:t>
      </w:r>
      <w:r w:rsidR="00AD044A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III.1, Pożyczki mogą być przeznaczone na finansowanie bieżącej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działalności przedsiębiorstwa Ostatecznego Odbiorcy, w tym jego kapitału obrotowego, wyłącznie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 przypadku:</w:t>
      </w:r>
    </w:p>
    <w:p w14:paraId="267983CA" w14:textId="77777777" w:rsidR="00B812EA" w:rsidRDefault="00E90C58" w:rsidP="00E90C58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Ostatecznych Odbiorców dotkniętych negatywnymi skutkami epidemii COVID-19 – w celu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zachowania płynności finansowej lub kontynuacji działalności ich przedsiębiorstwa;</w:t>
      </w:r>
    </w:p>
    <w:p w14:paraId="3BA6E589" w14:textId="1291890F" w:rsidR="00B812EA" w:rsidRDefault="00E90C58" w:rsidP="00E90C58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Ostatecznych Odbiorców realizujących przedsięwzięcia</w:t>
      </w:r>
      <w:r w:rsidR="00547EF5">
        <w:rPr>
          <w:rStyle w:val="Odwoanieprzypisudolnego"/>
          <w:bCs/>
          <w:sz w:val="16"/>
          <w:szCs w:val="16"/>
        </w:rPr>
        <w:footnoteReference w:id="1"/>
      </w:r>
      <w:r w:rsidRPr="00B812EA">
        <w:rPr>
          <w:rFonts w:ascii="Verdana" w:hAnsi="Verdana"/>
          <w:bCs/>
          <w:sz w:val="16"/>
          <w:szCs w:val="16"/>
        </w:rPr>
        <w:t xml:space="preserve"> przyczyniające się do przeciwdziałania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epidemii COVID-19 –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w celu realizacji tych przedsięwzięć.</w:t>
      </w:r>
    </w:p>
    <w:p w14:paraId="62C806EE" w14:textId="258C8A2F" w:rsidR="00B812EA" w:rsidRDefault="00E90C58" w:rsidP="00E90C58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Pożyczki na cele wskazane w pkt. III.2 mogą być udzielane w terminie do 3</w:t>
      </w:r>
      <w:r w:rsidR="00AD044A">
        <w:rPr>
          <w:rFonts w:ascii="Verdana" w:hAnsi="Verdana"/>
          <w:bCs/>
          <w:sz w:val="16"/>
          <w:szCs w:val="16"/>
        </w:rPr>
        <w:t>0 czerwca 2021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roku.</w:t>
      </w:r>
    </w:p>
    <w:p w14:paraId="2275E4F2" w14:textId="77777777" w:rsidR="00B812EA" w:rsidRDefault="00E90C58" w:rsidP="00E90C58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Udział Pożyczki w koszcie realizowanego przedsięwzięcia może stanowić do 100% jego wartości.</w:t>
      </w:r>
    </w:p>
    <w:p w14:paraId="7F91FA01" w14:textId="7443CE67" w:rsidR="00E90C58" w:rsidRPr="00B812EA" w:rsidRDefault="00E90C58" w:rsidP="00E90C58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z Pożyczki można łączyć w ramach tego samego wydatku z innym finansowaniem</w:t>
      </w:r>
      <w:r w:rsidR="00B812EA">
        <w:rPr>
          <w:rFonts w:ascii="Verdana" w:hAnsi="Verdana"/>
          <w:bCs/>
          <w:sz w:val="16"/>
          <w:szCs w:val="16"/>
        </w:rPr>
        <w:t xml:space="preserve">, </w:t>
      </w:r>
      <w:r w:rsidRPr="00B812EA">
        <w:rPr>
          <w:rFonts w:ascii="Verdana" w:hAnsi="Verdana"/>
          <w:bCs/>
          <w:sz w:val="16"/>
          <w:szCs w:val="16"/>
        </w:rPr>
        <w:t xml:space="preserve">w tym finansowaniem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z EFSI w formie dotacji lub instrumentów finansowych pod warunkiem,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że finansowanie w ramach wszystkich połączonych form wsparcia nie przekracza całkowitej kwoty tego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wydatku oraz spełnione są wszystkie mające zastosowanie zasady dotyczące pomocy państwa.</w:t>
      </w:r>
    </w:p>
    <w:p w14:paraId="1E30E96F" w14:textId="77777777" w:rsidR="00E90C58" w:rsidRPr="00B812EA" w:rsidRDefault="00E90C58" w:rsidP="00E90C58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B812EA">
        <w:rPr>
          <w:rFonts w:ascii="Verdana" w:hAnsi="Verdana"/>
          <w:b/>
          <w:sz w:val="16"/>
          <w:szCs w:val="16"/>
        </w:rPr>
        <w:t>IV. Wykluczenia z finansowania</w:t>
      </w:r>
    </w:p>
    <w:p w14:paraId="5577FE8C" w14:textId="5F90D85C" w:rsidR="00E90C58" w:rsidRPr="00B812EA" w:rsidRDefault="00E90C58" w:rsidP="00B812EA">
      <w:pPr>
        <w:pStyle w:val="Akapitzlist"/>
        <w:numPr>
          <w:ilvl w:val="0"/>
          <w:numId w:val="33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Śr</w:t>
      </w:r>
      <w:r w:rsidR="00AD044A">
        <w:rPr>
          <w:rFonts w:ascii="Verdana" w:hAnsi="Verdana"/>
          <w:bCs/>
          <w:sz w:val="16"/>
          <w:szCs w:val="16"/>
        </w:rPr>
        <w:t xml:space="preserve">odki z </w:t>
      </w:r>
      <w:r w:rsidRPr="00B812EA">
        <w:rPr>
          <w:rFonts w:ascii="Verdana" w:hAnsi="Verdana"/>
          <w:bCs/>
          <w:sz w:val="16"/>
          <w:szCs w:val="16"/>
        </w:rPr>
        <w:t>Pożyczki nie mogą być przeznaczone na:</w:t>
      </w:r>
    </w:p>
    <w:p w14:paraId="428DD810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wydatków pokrytych uprzednio ze środków EFSI, z innych funduszy, programów,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środków i instrumentów Unii Europejskiej lub innych źródeł pomocy krajowej lub zagranicznej;</w:t>
      </w:r>
    </w:p>
    <w:p w14:paraId="2A7487EE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prefinansowanie wydatków, na które otrzymano dofinansowanie w formie dotacji lub pomocy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zwrotnej;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</w:p>
    <w:p w14:paraId="7BCAF8EB" w14:textId="1CA8E45F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refinansowanie całości lub części wydatków, które na dzień złożenia wniosku o udzielenie Pożyczki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zostały </w:t>
      </w:r>
      <w:r w:rsidR="00BA418C">
        <w:rPr>
          <w:rFonts w:ascii="Verdana" w:hAnsi="Verdana"/>
          <w:bCs/>
          <w:sz w:val="16"/>
          <w:szCs w:val="16"/>
        </w:rPr>
        <w:t xml:space="preserve">                           </w:t>
      </w:r>
      <w:r w:rsidRPr="00B812EA">
        <w:rPr>
          <w:rFonts w:ascii="Verdana" w:hAnsi="Verdana"/>
          <w:bCs/>
          <w:sz w:val="16"/>
          <w:szCs w:val="16"/>
        </w:rPr>
        <w:t>już poniesione</w:t>
      </w:r>
      <w:r w:rsidR="008B2310">
        <w:rPr>
          <w:rFonts w:ascii="Verdana" w:hAnsi="Verdana"/>
          <w:bCs/>
          <w:sz w:val="16"/>
          <w:szCs w:val="16"/>
        </w:rPr>
        <w:t>;</w:t>
      </w:r>
    </w:p>
    <w:p w14:paraId="7580731C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refinansowanie jakichkolwiek pożyczek, kredytów lub rat leasingowych;</w:t>
      </w:r>
    </w:p>
    <w:p w14:paraId="57C5E572" w14:textId="685229F8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dokonanie spłaty zobowiązań publiczno – prawnych, wymagalnych przed 1 marca 2020 r.,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a także spłaty zobowiązań wynikających z sankcji nałożonych na Ostatecznego Odbiorcę,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w tym na podstawie decyzji administracyjnych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i prawomocnych wyroków sądowych;</w:t>
      </w:r>
    </w:p>
    <w:p w14:paraId="44B6F340" w14:textId="40113655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cele niezgodne z Celami Inwestycji określonymi w pkt</w:t>
      </w:r>
      <w:r w:rsidR="00BA418C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III;</w:t>
      </w:r>
    </w:p>
    <w:p w14:paraId="2659DEBA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zakupu aktywów finansowych przeznaczonych do obrotu;</w:t>
      </w:r>
    </w:p>
    <w:p w14:paraId="23CFA147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zakupu nieruchomości przeznaczonych do obrotu;</w:t>
      </w:r>
    </w:p>
    <w:p w14:paraId="3EC21E29" w14:textId="1EEACA41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zakupu gruntów niezabudowanych lub zabudowanych innych niż określone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 pkt</w:t>
      </w:r>
      <w:r w:rsidR="00BA418C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IV.8 powyżej, w kwocie przekraczającej 10 % wypłaconej Pożyczki;</w:t>
      </w:r>
    </w:p>
    <w:p w14:paraId="3C279174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kształcenia, szkolenia, szkolenia zawodowego pracowników lub innych przedsięwzięć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bezpośrednio objętych zakresem rozporządzenia Parlamentu Europejskiego i Rady (UE)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nr 1304/2013 w sprawie Europejskiego Funduszu Społecznego;</w:t>
      </w:r>
    </w:p>
    <w:p w14:paraId="1B65321B" w14:textId="3321064E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w zakresie wytwarzania, przetwórstwa lub wprowadzania do obrotu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przez producenta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lub importera tytoniu i wyrobów tytoniowych;</w:t>
      </w:r>
    </w:p>
    <w:p w14:paraId="0785DA87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w zakresie produkcji lub wprowadzania do obrotu przez producenta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lub importera napojów alkoholowych;</w:t>
      </w:r>
    </w:p>
    <w:p w14:paraId="1BF1BD5E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w zakresie produkcji lub wprowadzania do obrotu przez producenta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lub importera treści pornograficznych;</w:t>
      </w:r>
    </w:p>
    <w:p w14:paraId="4F4B5E36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w zakresie obrotu materiałami wybuchowymi, bronią i amunicją;</w:t>
      </w:r>
    </w:p>
    <w:p w14:paraId="48029F88" w14:textId="14FBB7CE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w zakresie gier losowych, zakładów wzajemnych, gier na automatach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i gier na automatach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o niskich wygranych;</w:t>
      </w:r>
    </w:p>
    <w:p w14:paraId="1A688F5B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w zakresie produkcji lub wprowadzania do obrotu przez producenta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lub importera środków odurzających, substancji psychotropowych lub prekursorów</w:t>
      </w:r>
      <w:r w:rsidR="00B812EA">
        <w:rPr>
          <w:rFonts w:ascii="Verdana" w:hAnsi="Verdana"/>
          <w:bCs/>
          <w:sz w:val="16"/>
          <w:szCs w:val="16"/>
        </w:rPr>
        <w:t>;</w:t>
      </w:r>
    </w:p>
    <w:p w14:paraId="180EAE35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likwidacji ani budowy elektrowni jądrowych;</w:t>
      </w:r>
    </w:p>
    <w:p w14:paraId="2B42E25E" w14:textId="17C708AB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inwestycji na rzecz redukcji emisji gazów cieplarnianych pochodzących z listy działań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wymienionych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w załączniku I do dyrektywy 2003/87/WE;</w:t>
      </w:r>
    </w:p>
    <w:p w14:paraId="090AEE9F" w14:textId="49A44FC1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inwestycji w infrastrukturę portów lotniczych, chyba że są one związane z ochroną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środowiska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lub towarzyszą im inwestycje niezbędne do łagodzenia lub ograniczenia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ich negatywnego oddziaływania na środowisko;</w:t>
      </w:r>
    </w:p>
    <w:p w14:paraId="6BA3069F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działalności badawczo-rozwojowej;</w:t>
      </w:r>
    </w:p>
    <w:p w14:paraId="7AC1F9AB" w14:textId="30584C2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 xml:space="preserve">finansowanie inwestycji w zakresie produkcji i pierwszego etapu przetwórstwa produktów </w:t>
      </w:r>
      <w:r w:rsidRPr="00962F6C">
        <w:rPr>
          <w:rFonts w:ascii="Verdana" w:hAnsi="Verdana"/>
          <w:bCs/>
          <w:sz w:val="16"/>
          <w:szCs w:val="16"/>
        </w:rPr>
        <w:t>rolnych</w:t>
      </w:r>
      <w:r w:rsidR="00962F6C">
        <w:rPr>
          <w:rStyle w:val="Odwoanieprzypisudolnego"/>
          <w:bCs/>
          <w:sz w:val="16"/>
          <w:szCs w:val="16"/>
        </w:rPr>
        <w:footnoteReference w:id="2"/>
      </w:r>
      <w:r w:rsidRPr="00962F6C">
        <w:rPr>
          <w:rFonts w:ascii="Verdana" w:hAnsi="Verdana"/>
          <w:bCs/>
          <w:sz w:val="16"/>
          <w:szCs w:val="16"/>
        </w:rPr>
        <w:t>;</w:t>
      </w:r>
    </w:p>
    <w:p w14:paraId="2F1CD15E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projektów inwestycyjnych podmiotów ekonomii społecznej;</w:t>
      </w:r>
    </w:p>
    <w:p w14:paraId="262CE282" w14:textId="77777777" w:rsid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wsparcia międzynarodowej współpracy gospodarczej przedsiębiorstw;</w:t>
      </w:r>
    </w:p>
    <w:p w14:paraId="6CD8FBE5" w14:textId="22F1829F" w:rsidR="00E90C58" w:rsidRPr="00B812EA" w:rsidRDefault="00E90C58" w:rsidP="00E90C5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inne cele, których finansowanie jest wykluczone na mocy innych właściwych przepisów.</w:t>
      </w:r>
    </w:p>
    <w:p w14:paraId="5B4464E5" w14:textId="77777777" w:rsidR="00E90C58" w:rsidRPr="00B812EA" w:rsidRDefault="00E90C58" w:rsidP="00BA418C">
      <w:pP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B812EA">
        <w:rPr>
          <w:rFonts w:ascii="Verdana" w:hAnsi="Verdana"/>
          <w:b/>
          <w:sz w:val="16"/>
          <w:szCs w:val="16"/>
        </w:rPr>
        <w:lastRenderedPageBreak/>
        <w:t>V. Ograniczenia w finansowaniu</w:t>
      </w:r>
    </w:p>
    <w:p w14:paraId="51265C5B" w14:textId="607BFE04" w:rsidR="00B812EA" w:rsidRDefault="00E90C58" w:rsidP="00E90C58">
      <w:pPr>
        <w:pStyle w:val="Akapitzlist"/>
        <w:numPr>
          <w:ilvl w:val="0"/>
          <w:numId w:val="35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Finansowanie zakupu gruntów niezabudowanych i zabudowanych w ramach finansowanej inwestycji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możliwe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jest do wysokości 10% środków Pożyczki wypłaconych na rzecz Ostatecznego Odbiorcy.</w:t>
      </w:r>
    </w:p>
    <w:p w14:paraId="122EF2F5" w14:textId="34D4D1A0" w:rsidR="00B812EA" w:rsidRDefault="00E90C58" w:rsidP="00E90C58">
      <w:pPr>
        <w:pStyle w:val="Akapitzlist"/>
        <w:numPr>
          <w:ilvl w:val="0"/>
          <w:numId w:val="35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W przypadku pożyczek przeznaczonych wyłącznie na cele wskazane w pkt. III.1, finansowanie kapitału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obrotowego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jest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możliwe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do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wysokości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50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%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Pożyczki,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pod warunkiem, że takie finasowanie jest niezbędne do realizacji przedsięwzięcia, zgodnego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z celami wskazanymi w pkt</w:t>
      </w:r>
      <w:r w:rsidR="00BA418C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III.1, oraz jest zgodne z Wytycznymi EGESIF_14_0041-1 z dnia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27 marca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2015 r., pt. </w:t>
      </w:r>
      <w:r w:rsidRPr="00BB3C5A">
        <w:rPr>
          <w:rFonts w:ascii="Verdana" w:hAnsi="Verdana"/>
          <w:bCs/>
          <w:sz w:val="16"/>
          <w:szCs w:val="16"/>
          <w:lang w:val="en-US"/>
        </w:rPr>
        <w:t>Guidance for Member States on Article 37(4) CPR – Support on enterprises/working capital.</w:t>
      </w:r>
      <w:r w:rsidR="00B812EA" w:rsidRPr="00BB3C5A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Ostateczny Odbiorca w dokumentach aplikacyjnych, powinien opisać w jaki sposób finansowanie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 xml:space="preserve">kapitału obrotowego </w:t>
      </w:r>
      <w:r w:rsidR="00FA058D">
        <w:rPr>
          <w:rFonts w:ascii="Verdana" w:hAnsi="Verdana"/>
          <w:bCs/>
          <w:sz w:val="16"/>
          <w:szCs w:val="16"/>
        </w:rPr>
        <w:br/>
      </w:r>
      <w:r w:rsidRPr="00B812EA">
        <w:rPr>
          <w:rFonts w:ascii="Verdana" w:hAnsi="Verdana"/>
          <w:bCs/>
          <w:sz w:val="16"/>
          <w:szCs w:val="16"/>
        </w:rPr>
        <w:t>w ramach Pożyczki powiązane jest z realizacją celów wskazanych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w pkt</w:t>
      </w:r>
      <w:r w:rsidR="00E8224A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III.1.</w:t>
      </w:r>
    </w:p>
    <w:p w14:paraId="68BE4899" w14:textId="49BC75CC" w:rsidR="00E90C58" w:rsidRPr="00447DD1" w:rsidRDefault="00E90C58" w:rsidP="00E90C58">
      <w:pPr>
        <w:pStyle w:val="Akapitzlist"/>
        <w:numPr>
          <w:ilvl w:val="0"/>
          <w:numId w:val="35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B812EA">
        <w:rPr>
          <w:rFonts w:ascii="Verdana" w:hAnsi="Verdana"/>
          <w:bCs/>
          <w:sz w:val="16"/>
          <w:szCs w:val="16"/>
        </w:rPr>
        <w:t>W przypadku Pożyczek przeznaczonych zarówno na cele wskazane w pkt</w:t>
      </w:r>
      <w:r w:rsidR="00E8224A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III.1, jak</w:t>
      </w:r>
      <w:r w:rsidR="00B812EA">
        <w:rPr>
          <w:rFonts w:ascii="Verdana" w:hAnsi="Verdana"/>
          <w:bCs/>
          <w:sz w:val="16"/>
          <w:szCs w:val="16"/>
        </w:rPr>
        <w:t xml:space="preserve"> </w:t>
      </w:r>
      <w:r w:rsidRPr="00B812EA">
        <w:rPr>
          <w:rFonts w:ascii="Verdana" w:hAnsi="Verdana"/>
          <w:bCs/>
          <w:sz w:val="16"/>
          <w:szCs w:val="16"/>
        </w:rPr>
        <w:t>i w pkt</w:t>
      </w:r>
      <w:r w:rsidR="00E8224A">
        <w:rPr>
          <w:rFonts w:ascii="Verdana" w:hAnsi="Verdana"/>
          <w:bCs/>
          <w:sz w:val="16"/>
          <w:szCs w:val="16"/>
        </w:rPr>
        <w:t>.</w:t>
      </w:r>
      <w:r w:rsidRPr="00B812EA">
        <w:rPr>
          <w:rFonts w:ascii="Verdana" w:hAnsi="Verdana"/>
          <w:bCs/>
          <w:sz w:val="16"/>
          <w:szCs w:val="16"/>
        </w:rPr>
        <w:t xml:space="preserve"> III.2, kapitał obrotowy finansowany w ramach celu, o którym mowa w pkt. III.1 nie może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przekroczyć 50% wydatków ponoszonych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>w jego ramach oraz musi spełniać pozostałe wymogi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określone w pkt. V.2.</w:t>
      </w:r>
    </w:p>
    <w:p w14:paraId="66F40CF1" w14:textId="77777777" w:rsidR="00E90C58" w:rsidRPr="00447DD1" w:rsidRDefault="00E90C58" w:rsidP="00BA418C">
      <w:pP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447DD1">
        <w:rPr>
          <w:rFonts w:ascii="Verdana" w:hAnsi="Verdana"/>
          <w:b/>
          <w:sz w:val="16"/>
          <w:szCs w:val="16"/>
        </w:rPr>
        <w:t>VI. Zasady odpłatności za udzielenie Małej Pożyczki Inwestycyjnej</w:t>
      </w:r>
    </w:p>
    <w:p w14:paraId="39113D98" w14:textId="4EA874DD" w:rsidR="00E90C58" w:rsidRPr="00447DD1" w:rsidRDefault="00E90C58" w:rsidP="00447DD1">
      <w:pPr>
        <w:pStyle w:val="Akapitzlist"/>
        <w:numPr>
          <w:ilvl w:val="0"/>
          <w:numId w:val="36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 xml:space="preserve">Pożyczka </w:t>
      </w:r>
      <w:r w:rsidRPr="008B2310">
        <w:rPr>
          <w:rFonts w:ascii="Verdana" w:hAnsi="Verdana"/>
          <w:bCs/>
          <w:sz w:val="16"/>
          <w:szCs w:val="16"/>
        </w:rPr>
        <w:t>mała może</w:t>
      </w:r>
      <w:r w:rsidRPr="00447DD1">
        <w:rPr>
          <w:rFonts w:ascii="Verdana" w:hAnsi="Verdana"/>
          <w:bCs/>
          <w:sz w:val="16"/>
          <w:szCs w:val="16"/>
        </w:rPr>
        <w:t xml:space="preserve"> być oprocentowana:</w:t>
      </w:r>
    </w:p>
    <w:p w14:paraId="32BFE7EE" w14:textId="049413BD" w:rsidR="00F909C3" w:rsidRDefault="00E90C58" w:rsidP="00E90C58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F909C3">
        <w:rPr>
          <w:rFonts w:ascii="Verdana" w:hAnsi="Verdana"/>
          <w:b/>
          <w:sz w:val="16"/>
          <w:szCs w:val="16"/>
        </w:rPr>
        <w:t>na warunkach rynkowych</w:t>
      </w:r>
      <w:r w:rsidRPr="00447DD1">
        <w:rPr>
          <w:rFonts w:ascii="Verdana" w:hAnsi="Verdana"/>
          <w:bCs/>
          <w:sz w:val="16"/>
          <w:szCs w:val="16"/>
        </w:rPr>
        <w:t xml:space="preserve">, </w:t>
      </w:r>
      <w:r w:rsidRPr="00F909C3">
        <w:rPr>
          <w:rFonts w:ascii="Verdana" w:hAnsi="Verdana"/>
          <w:bCs/>
          <w:sz w:val="16"/>
          <w:szCs w:val="16"/>
          <w:u w:val="single"/>
        </w:rPr>
        <w:t>według stopy referencyjnej</w:t>
      </w:r>
      <w:r w:rsidRPr="00447DD1">
        <w:rPr>
          <w:rFonts w:ascii="Verdana" w:hAnsi="Verdana"/>
          <w:bCs/>
          <w:sz w:val="16"/>
          <w:szCs w:val="16"/>
        </w:rPr>
        <w:t xml:space="preserve"> obliczanej przy zastosowaniu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obowiązującej stopy bazowej oraz marży ustalonej w oparciu o Komunikat Komisji Europejskiej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w sprawie zmiany metody ustalania stóp referencyjnych i dyskontowych (Dz. Urz. UE C 14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z 19.1.2008 r. lub komunikat zastępujący) oraz po przeprowadzeniu analizy ryzyka niespłacenia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zaciągniętego przez przedsiębiorcę zobowiązania na podstawie wdrożonej i akceptowanej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>w sektorze finansowym metodologii wyznaczania współczynnika ryzyka.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</w:p>
    <w:p w14:paraId="0B295572" w14:textId="77777777" w:rsidR="00F909C3" w:rsidRDefault="00F909C3" w:rsidP="00F909C3">
      <w:pPr>
        <w:pStyle w:val="Akapitzlist"/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14:paraId="346C92A4" w14:textId="4BBFB222" w:rsidR="00447DD1" w:rsidRPr="00F909C3" w:rsidRDefault="00E90C58" w:rsidP="00F909C3">
      <w:pPr>
        <w:pStyle w:val="Akapitzlist"/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F909C3">
        <w:rPr>
          <w:rFonts w:ascii="Verdana" w:hAnsi="Verdana"/>
          <w:b/>
          <w:sz w:val="16"/>
          <w:szCs w:val="16"/>
        </w:rPr>
        <w:t>Stopa bazowa publikowana jest przez Komisję Europejską w dzienniku Urzędowym Unii</w:t>
      </w:r>
      <w:r w:rsidR="00447DD1" w:rsidRPr="00F909C3">
        <w:rPr>
          <w:rFonts w:ascii="Verdana" w:hAnsi="Verdana"/>
          <w:b/>
          <w:sz w:val="16"/>
          <w:szCs w:val="16"/>
        </w:rPr>
        <w:t xml:space="preserve"> </w:t>
      </w:r>
      <w:r w:rsidRPr="00F909C3">
        <w:rPr>
          <w:rFonts w:ascii="Verdana" w:hAnsi="Verdana"/>
          <w:b/>
          <w:sz w:val="16"/>
          <w:szCs w:val="16"/>
        </w:rPr>
        <w:t xml:space="preserve">Europejskiej </w:t>
      </w:r>
      <w:r w:rsidR="00F909C3">
        <w:rPr>
          <w:rFonts w:ascii="Verdana" w:hAnsi="Verdana"/>
          <w:b/>
          <w:sz w:val="16"/>
          <w:szCs w:val="16"/>
        </w:rPr>
        <w:br/>
      </w:r>
      <w:r w:rsidRPr="00F909C3">
        <w:rPr>
          <w:rFonts w:ascii="Verdana" w:hAnsi="Verdana"/>
          <w:b/>
          <w:sz w:val="16"/>
          <w:szCs w:val="16"/>
        </w:rPr>
        <w:t>i dostępna jest na stronie:</w:t>
      </w:r>
      <w:r w:rsidR="00447DD1" w:rsidRPr="00F909C3">
        <w:rPr>
          <w:rFonts w:ascii="Verdana" w:hAnsi="Verdana"/>
          <w:b/>
          <w:sz w:val="16"/>
          <w:szCs w:val="16"/>
        </w:rPr>
        <w:t xml:space="preserve"> </w:t>
      </w:r>
    </w:p>
    <w:p w14:paraId="1D6EB4A4" w14:textId="77777777" w:rsidR="00447DD1" w:rsidRDefault="00BA5A39" w:rsidP="00447DD1">
      <w:pPr>
        <w:pStyle w:val="Akapitzlist"/>
        <w:spacing w:line="240" w:lineRule="auto"/>
        <w:jc w:val="both"/>
        <w:rPr>
          <w:rFonts w:ascii="Verdana" w:hAnsi="Verdana"/>
          <w:bCs/>
          <w:sz w:val="16"/>
          <w:szCs w:val="16"/>
        </w:rPr>
      </w:pPr>
      <w:hyperlink r:id="rId9" w:history="1">
        <w:r w:rsidR="00447DD1" w:rsidRPr="006E29EA">
          <w:rPr>
            <w:rStyle w:val="Hipercze"/>
            <w:rFonts w:ascii="Verdana" w:hAnsi="Verdana"/>
            <w:bCs/>
            <w:sz w:val="16"/>
            <w:szCs w:val="16"/>
          </w:rPr>
          <w:t>http://ec.europa.eu/competition/state_aid/legislation/reference_rates.html</w:t>
        </w:r>
      </w:hyperlink>
      <w:r w:rsidR="00447DD1">
        <w:rPr>
          <w:rFonts w:ascii="Verdana" w:hAnsi="Verdana"/>
          <w:bCs/>
          <w:sz w:val="16"/>
          <w:szCs w:val="16"/>
        </w:rPr>
        <w:t xml:space="preserve"> </w:t>
      </w:r>
    </w:p>
    <w:p w14:paraId="266861ED" w14:textId="77777777" w:rsidR="00447DD1" w:rsidRDefault="00E90C58" w:rsidP="00447DD1">
      <w:pPr>
        <w:pStyle w:val="Akapitzlist"/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oraz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</w:p>
    <w:p w14:paraId="7A7EF198" w14:textId="1DDD41DF" w:rsidR="00E90C58" w:rsidRPr="00447DD1" w:rsidRDefault="00BA5A39" w:rsidP="00447DD1">
      <w:pPr>
        <w:pStyle w:val="Akapitzlist"/>
        <w:spacing w:line="240" w:lineRule="auto"/>
        <w:jc w:val="both"/>
        <w:rPr>
          <w:rFonts w:ascii="Verdana" w:hAnsi="Verdana"/>
          <w:bCs/>
          <w:sz w:val="16"/>
          <w:szCs w:val="16"/>
        </w:rPr>
      </w:pPr>
      <w:hyperlink r:id="rId10" w:history="1">
        <w:r w:rsidR="00447DD1" w:rsidRPr="006E29EA">
          <w:rPr>
            <w:rStyle w:val="Hipercze"/>
            <w:rFonts w:ascii="Verdana" w:hAnsi="Verdana"/>
            <w:bCs/>
            <w:sz w:val="16"/>
            <w:szCs w:val="16"/>
          </w:rPr>
          <w:t>https://uokik.gov.pl/stopa_referencyjna_i_archiwum.php</w:t>
        </w:r>
      </w:hyperlink>
      <w:r w:rsidR="00447DD1">
        <w:rPr>
          <w:rFonts w:ascii="Verdana" w:hAnsi="Verdana"/>
          <w:bCs/>
          <w:sz w:val="16"/>
          <w:szCs w:val="16"/>
        </w:rPr>
        <w:t xml:space="preserve"> </w:t>
      </w:r>
    </w:p>
    <w:p w14:paraId="74F63AE3" w14:textId="7781501E" w:rsidR="00E90C58" w:rsidRPr="00A4308C" w:rsidRDefault="00E90C58" w:rsidP="008B2310">
      <w:pPr>
        <w:spacing w:line="240" w:lineRule="auto"/>
        <w:ind w:firstLine="708"/>
        <w:jc w:val="both"/>
        <w:rPr>
          <w:rFonts w:ascii="Verdana" w:hAnsi="Verdana"/>
          <w:b/>
          <w:sz w:val="16"/>
          <w:szCs w:val="16"/>
        </w:rPr>
      </w:pPr>
      <w:r w:rsidRPr="00A4308C">
        <w:rPr>
          <w:rFonts w:ascii="Verdana" w:hAnsi="Verdana"/>
          <w:b/>
          <w:sz w:val="16"/>
          <w:szCs w:val="16"/>
        </w:rPr>
        <w:t>Marża jest ustalana w następujący sposób: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984"/>
        <w:gridCol w:w="1843"/>
        <w:gridCol w:w="1843"/>
      </w:tblGrid>
      <w:tr w:rsidR="00A4308C" w14:paraId="33B83A5F" w14:textId="77777777" w:rsidTr="008B2310">
        <w:trPr>
          <w:cantSplit/>
          <w:trHeight w:val="223"/>
          <w:jc w:val="center"/>
        </w:trPr>
        <w:tc>
          <w:tcPr>
            <w:tcW w:w="90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0CC3E" w14:textId="77777777" w:rsidR="00A4308C" w:rsidRDefault="00A4308C" w:rsidP="000854D5">
            <w:pPr>
              <w:autoSpaceDN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Marża kredytów w punktach bazowych</w:t>
            </w:r>
          </w:p>
        </w:tc>
      </w:tr>
      <w:tr w:rsidR="00A4308C" w14:paraId="2BDD1532" w14:textId="77777777" w:rsidTr="008B2310">
        <w:trPr>
          <w:cantSplit/>
          <w:jc w:val="center"/>
        </w:trPr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40BCE" w14:textId="77777777" w:rsidR="00A4308C" w:rsidRDefault="00A4308C" w:rsidP="000854D5">
            <w:pPr>
              <w:autoSpaceDN w:val="0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Kategoria ratingu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5A7A4" w14:textId="77777777" w:rsidR="00A4308C" w:rsidRDefault="00A4308C" w:rsidP="000854D5">
            <w:pPr>
              <w:autoSpaceDN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Poziom zabezpieczeń</w:t>
            </w:r>
          </w:p>
        </w:tc>
      </w:tr>
      <w:tr w:rsidR="00A4308C" w14:paraId="7186E716" w14:textId="77777777" w:rsidTr="008B2310">
        <w:trPr>
          <w:cantSplit/>
          <w:jc w:val="center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2F81A" w14:textId="77777777" w:rsidR="00A4308C" w:rsidRDefault="00A4308C" w:rsidP="000854D5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4EE96" w14:textId="77777777" w:rsidR="00A4308C" w:rsidRDefault="00A4308C" w:rsidP="000854D5">
            <w:pPr>
              <w:autoSpaceDN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Wysoki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1D4FA" w14:textId="77777777" w:rsidR="00A4308C" w:rsidRDefault="00A4308C" w:rsidP="000854D5">
            <w:pPr>
              <w:autoSpaceDN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Standardowy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41E31" w14:textId="77777777" w:rsidR="00A4308C" w:rsidRDefault="00A4308C" w:rsidP="000854D5">
            <w:pPr>
              <w:autoSpaceDN w:val="0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Niski</w:t>
            </w:r>
          </w:p>
        </w:tc>
      </w:tr>
      <w:tr w:rsidR="00A4308C" w14:paraId="159682F2" w14:textId="77777777" w:rsidTr="008B2310">
        <w:trPr>
          <w:trHeight w:val="244"/>
          <w:jc w:val="center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C2B0E" w14:textId="77777777" w:rsidR="00A4308C" w:rsidRDefault="00A4308C" w:rsidP="000854D5">
            <w:pPr>
              <w:autoSpaceDN w:val="0"/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(AAA-A)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C9FDC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DAAB7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B089E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A4308C" w14:paraId="5A18279C" w14:textId="77777777" w:rsidTr="008B2310">
        <w:trPr>
          <w:jc w:val="center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A46F8" w14:textId="77777777" w:rsidR="00A4308C" w:rsidRDefault="00A4308C" w:rsidP="000854D5">
            <w:pPr>
              <w:autoSpaceDN w:val="0"/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Dobry (BBB)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175C1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F48E7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C8CF3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</w:t>
            </w:r>
          </w:p>
        </w:tc>
      </w:tr>
      <w:tr w:rsidR="00A4308C" w14:paraId="25E45C51" w14:textId="77777777" w:rsidTr="008B2310">
        <w:trPr>
          <w:jc w:val="center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463A3" w14:textId="77777777" w:rsidR="00A4308C" w:rsidRDefault="00A4308C" w:rsidP="000854D5">
            <w:pPr>
              <w:autoSpaceDN w:val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Zadowalający (BB)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F4780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6A08A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999F6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</w:tr>
      <w:tr w:rsidR="00A4308C" w14:paraId="28959F1B" w14:textId="77777777" w:rsidTr="008B2310">
        <w:trPr>
          <w:jc w:val="center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6631F" w14:textId="77777777" w:rsidR="00A4308C" w:rsidRDefault="00A4308C" w:rsidP="000854D5">
            <w:pPr>
              <w:autoSpaceDN w:val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(B)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571FB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27C3A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4B94E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650</w:t>
            </w:r>
          </w:p>
        </w:tc>
      </w:tr>
      <w:tr w:rsidR="00A4308C" w14:paraId="3B0121B5" w14:textId="77777777" w:rsidTr="008B2310">
        <w:trPr>
          <w:jc w:val="center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5AA60" w14:textId="77777777" w:rsidR="00A4308C" w:rsidRDefault="00A4308C" w:rsidP="000854D5">
            <w:pPr>
              <w:autoSpaceDN w:val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Zły/Trudności finansowe (CCC i poniżej)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5D700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608B2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86B82" w14:textId="77777777" w:rsidR="00A4308C" w:rsidRDefault="00A4308C" w:rsidP="000854D5">
            <w:pPr>
              <w:autoSpaceDN w:val="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</w:tr>
    </w:tbl>
    <w:p w14:paraId="02E25F47" w14:textId="77777777" w:rsidR="00A4308C" w:rsidRDefault="00A4308C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37424FDA" w14:textId="0916C7DB" w:rsidR="00447DD1" w:rsidRDefault="00E90C58" w:rsidP="00E8224A">
      <w:pPr>
        <w:spacing w:after="120" w:line="240" w:lineRule="auto"/>
        <w:ind w:left="709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Pod pojęciem „standardowy poziom zabezpieczeń” należy rozumieć poziom zabezpieczeń, jakiego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zwyczajowo wymagają instytucje finansowe z tytułu gwarancji dla udzielanych kredytów</w:t>
      </w:r>
      <w:r w:rsidR="008B2310">
        <w:rPr>
          <w:rFonts w:ascii="Verdana" w:hAnsi="Verdana"/>
          <w:bCs/>
          <w:sz w:val="16"/>
          <w:szCs w:val="16"/>
        </w:rPr>
        <w:t>.</w:t>
      </w:r>
    </w:p>
    <w:p w14:paraId="0115525D" w14:textId="1A3892DB" w:rsidR="00E90C58" w:rsidRPr="00E90C58" w:rsidRDefault="00E90C58" w:rsidP="00E8224A">
      <w:pPr>
        <w:spacing w:after="120" w:line="240" w:lineRule="auto"/>
        <w:ind w:left="709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Poziom zabezpieczeń może być mierzony jako strata z tytułu niewywiązywania się z płatności (ang. </w:t>
      </w:r>
      <w:proofErr w:type="spellStart"/>
      <w:r w:rsidRPr="00E90C58">
        <w:rPr>
          <w:rFonts w:ascii="Verdana" w:hAnsi="Verdana"/>
          <w:bCs/>
          <w:sz w:val="16"/>
          <w:szCs w:val="16"/>
        </w:rPr>
        <w:t>Loss</w:t>
      </w:r>
      <w:proofErr w:type="spellEnd"/>
      <w:r w:rsidR="00447DD1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E90C58">
        <w:rPr>
          <w:rFonts w:ascii="Verdana" w:hAnsi="Verdana"/>
          <w:bCs/>
          <w:sz w:val="16"/>
          <w:szCs w:val="16"/>
        </w:rPr>
        <w:t>Given</w:t>
      </w:r>
      <w:proofErr w:type="spellEnd"/>
      <w:r w:rsidRPr="00E90C58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E90C58">
        <w:rPr>
          <w:rFonts w:ascii="Verdana" w:hAnsi="Verdana"/>
          <w:bCs/>
          <w:sz w:val="16"/>
          <w:szCs w:val="16"/>
        </w:rPr>
        <w:t>Default</w:t>
      </w:r>
      <w:proofErr w:type="spellEnd"/>
      <w:r w:rsidRPr="00E90C58">
        <w:rPr>
          <w:rFonts w:ascii="Verdana" w:hAnsi="Verdana"/>
          <w:bCs/>
          <w:sz w:val="16"/>
          <w:szCs w:val="16"/>
        </w:rPr>
        <w:t xml:space="preserve"> — LGD), czyli oczekiwana, wyrażona w procentach strata w łącznej kwocie kredytu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dłużnika, przy uwzględnieniu możliwych do odzyskania kwot pochodzących z zabezpieczeń i masy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upadłościowej; w konsekwencji LGD jest odwrotnie proporcjonalne do ważności zabezpieczeń.</w:t>
      </w:r>
    </w:p>
    <w:p w14:paraId="6B71F7CC" w14:textId="59E3D487" w:rsidR="001718B4" w:rsidRPr="00E90C58" w:rsidRDefault="00E90C58" w:rsidP="00E8224A">
      <w:pPr>
        <w:spacing w:after="120" w:line="240" w:lineRule="auto"/>
        <w:ind w:left="709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Dla potrzeb komunikatu przyjęto założenie, że „wysoki” poziom zabezpieczeń oznacza LGD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nieprzekraczające 30 %, „standardowy” poziom zabezpieczeń — LGD między 31 % a 59 %, a „niski”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poziom zabezpieczeń — LGD przekraczające lub równe 60 %.</w:t>
      </w:r>
    </w:p>
    <w:p w14:paraId="2B7865D0" w14:textId="59B47EC3" w:rsidR="00E90C58" w:rsidRPr="00E90C58" w:rsidRDefault="00E90C58" w:rsidP="00E8224A">
      <w:pPr>
        <w:spacing w:after="120" w:line="240" w:lineRule="auto"/>
        <w:ind w:left="709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W odniesieniu do kredytobiorców, którzy nie mają historii kredytowej lub ratingu opartego o podejście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bilansowe, </w:t>
      </w:r>
      <w:r w:rsidR="00FA058D">
        <w:rPr>
          <w:rFonts w:ascii="Verdana" w:hAnsi="Verdana"/>
          <w:bCs/>
          <w:sz w:val="16"/>
          <w:szCs w:val="16"/>
        </w:rPr>
        <w:br/>
      </w:r>
      <w:r w:rsidRPr="00E90C58">
        <w:rPr>
          <w:rFonts w:ascii="Verdana" w:hAnsi="Verdana"/>
          <w:bCs/>
          <w:sz w:val="16"/>
          <w:szCs w:val="16"/>
        </w:rPr>
        <w:t>jak niektóre spółki specjalnego przeznaczenia lub nowoutworzone przedsiębiorstwa, stopa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bazowa powinna </w:t>
      </w:r>
      <w:r w:rsidR="00E8224A">
        <w:rPr>
          <w:rFonts w:ascii="Verdana" w:hAnsi="Verdana"/>
          <w:bCs/>
          <w:sz w:val="16"/>
          <w:szCs w:val="16"/>
        </w:rPr>
        <w:t xml:space="preserve">                       </w:t>
      </w:r>
      <w:r w:rsidRPr="00E90C58">
        <w:rPr>
          <w:rFonts w:ascii="Verdana" w:hAnsi="Verdana"/>
          <w:bCs/>
          <w:sz w:val="16"/>
          <w:szCs w:val="16"/>
        </w:rPr>
        <w:t>być zwiększona o przynajmniej 400 punktów bazowych (zależnie od dostępnych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zabezpieczeń), a marża nigdy nie może być niższa niż marża, która zostałaby zastosowana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w odniesieniu do spółki dominującej.</w:t>
      </w:r>
    </w:p>
    <w:p w14:paraId="636FB526" w14:textId="6C623FDD" w:rsidR="00E90C58" w:rsidRPr="00E90C58" w:rsidRDefault="00E90C58" w:rsidP="008B2310">
      <w:pPr>
        <w:spacing w:line="240" w:lineRule="auto"/>
        <w:ind w:left="708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Rating nie musi pochodzić z konkretnych agencji ratingowych — akceptowane są również krajowe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 xml:space="preserve">systemy ratingowe </w:t>
      </w:r>
      <w:r w:rsidR="00FA058D">
        <w:rPr>
          <w:rFonts w:ascii="Verdana" w:hAnsi="Verdana"/>
          <w:bCs/>
          <w:sz w:val="16"/>
          <w:szCs w:val="16"/>
        </w:rPr>
        <w:br/>
      </w:r>
      <w:r w:rsidRPr="00E90C58">
        <w:rPr>
          <w:rFonts w:ascii="Verdana" w:hAnsi="Verdana"/>
          <w:bCs/>
          <w:sz w:val="16"/>
          <w:szCs w:val="16"/>
        </w:rPr>
        <w:t>lub systemy ratingowe stosowane przez banki w celu odzwierciedlenia wskaźników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E90C58">
        <w:rPr>
          <w:rFonts w:ascii="Verdana" w:hAnsi="Verdana"/>
          <w:bCs/>
          <w:sz w:val="16"/>
          <w:szCs w:val="16"/>
        </w:rPr>
        <w:t>niewypłacalności.</w:t>
      </w:r>
    </w:p>
    <w:p w14:paraId="4F855F26" w14:textId="3B0F5E6D" w:rsidR="00E90C58" w:rsidRPr="00F909C3" w:rsidRDefault="00E90C58" w:rsidP="00447DD1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F909C3">
        <w:rPr>
          <w:rFonts w:ascii="Verdana" w:hAnsi="Verdana"/>
          <w:b/>
          <w:sz w:val="16"/>
          <w:szCs w:val="16"/>
        </w:rPr>
        <w:t>wyłącznie na warunkach korzystniejszych niż rynkowe w przypadku:</w:t>
      </w:r>
    </w:p>
    <w:p w14:paraId="3FC01BC4" w14:textId="1038E0D2" w:rsidR="00447DD1" w:rsidRDefault="00E90C58" w:rsidP="00E90C58">
      <w:pPr>
        <w:pStyle w:val="Akapitzlist"/>
        <w:numPr>
          <w:ilvl w:val="0"/>
          <w:numId w:val="38"/>
        </w:numPr>
        <w:spacing w:line="240" w:lineRule="auto"/>
        <w:ind w:left="108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inwestycji w przedsięwzięcia w ramach inteligentnych specjalizacji w kontekście Regionalnej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Strategii Innowacji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 xml:space="preserve">dla Wielkopolski na lata 2015-2020 </w:t>
      </w:r>
      <w:r w:rsidR="008B2310" w:rsidRPr="00ED4D23">
        <w:rPr>
          <w:rFonts w:ascii="Verdana" w:hAnsi="Verdana"/>
          <w:sz w:val="16"/>
          <w:szCs w:val="16"/>
        </w:rPr>
        <w:t xml:space="preserve">zgodnie z „Listą </w:t>
      </w:r>
      <w:r w:rsidR="008B2310" w:rsidRPr="00ED4D23">
        <w:rPr>
          <w:rFonts w:ascii="Verdana" w:hAnsi="Verdana" w:cs="Arial"/>
          <w:bCs/>
          <w:sz w:val="16"/>
          <w:szCs w:val="16"/>
        </w:rPr>
        <w:t xml:space="preserve">sekcji PKD przyporządkowanych do obszarów inteligentnych specjalizacji </w:t>
      </w:r>
      <w:r w:rsidR="008B2310" w:rsidRPr="00ED4D23">
        <w:rPr>
          <w:rFonts w:ascii="Verdana" w:hAnsi="Verdana"/>
          <w:sz w:val="16"/>
          <w:szCs w:val="16"/>
        </w:rPr>
        <w:t xml:space="preserve">w </w:t>
      </w:r>
      <w:r w:rsidR="008B2310" w:rsidRPr="00ED4D23">
        <w:rPr>
          <w:rFonts w:ascii="Verdana" w:hAnsi="Verdana" w:cs="Arial"/>
          <w:bCs/>
          <w:sz w:val="16"/>
          <w:szCs w:val="16"/>
        </w:rPr>
        <w:t>województwie wielkopolskim”</w:t>
      </w:r>
      <w:r w:rsidRPr="00447DD1">
        <w:rPr>
          <w:rFonts w:ascii="Verdana" w:hAnsi="Verdana"/>
          <w:bCs/>
          <w:sz w:val="16"/>
          <w:szCs w:val="16"/>
        </w:rPr>
        <w:t>;</w:t>
      </w:r>
    </w:p>
    <w:p w14:paraId="7A0CA605" w14:textId="77777777" w:rsidR="00447DD1" w:rsidRDefault="00E90C58" w:rsidP="00E90C58">
      <w:pPr>
        <w:pStyle w:val="Akapitzlist"/>
        <w:numPr>
          <w:ilvl w:val="0"/>
          <w:numId w:val="38"/>
        </w:numPr>
        <w:spacing w:line="240" w:lineRule="auto"/>
        <w:ind w:left="108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 xml:space="preserve">inwestycji w Start </w:t>
      </w:r>
      <w:proofErr w:type="spellStart"/>
      <w:r w:rsidRPr="00447DD1">
        <w:rPr>
          <w:rFonts w:ascii="Verdana" w:hAnsi="Verdana"/>
          <w:bCs/>
          <w:sz w:val="16"/>
          <w:szCs w:val="16"/>
        </w:rPr>
        <w:t>up’y</w:t>
      </w:r>
      <w:proofErr w:type="spellEnd"/>
      <w:r w:rsidRPr="00447DD1">
        <w:rPr>
          <w:rFonts w:ascii="Verdana" w:hAnsi="Verdana"/>
          <w:bCs/>
          <w:sz w:val="16"/>
          <w:szCs w:val="16"/>
        </w:rPr>
        <w:t>;</w:t>
      </w:r>
    </w:p>
    <w:p w14:paraId="6BAE9F0B" w14:textId="77777777" w:rsidR="00447DD1" w:rsidRDefault="00E90C58" w:rsidP="00E90C58">
      <w:pPr>
        <w:pStyle w:val="Akapitzlist"/>
        <w:numPr>
          <w:ilvl w:val="0"/>
          <w:numId w:val="38"/>
        </w:numPr>
        <w:spacing w:line="240" w:lineRule="auto"/>
        <w:ind w:left="108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inwestycji w Mikroprzedsiębiorstwa;</w:t>
      </w:r>
    </w:p>
    <w:p w14:paraId="3BF60755" w14:textId="0188DE30" w:rsidR="00447DD1" w:rsidRDefault="00E90C58" w:rsidP="00E90C58">
      <w:pPr>
        <w:pStyle w:val="Akapitzlist"/>
        <w:numPr>
          <w:ilvl w:val="0"/>
          <w:numId w:val="38"/>
        </w:numPr>
        <w:spacing w:line="240" w:lineRule="auto"/>
        <w:ind w:left="108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inwestycji w przedsięwzięcia realizowane w ramach Wiejskich obszarów funkcjonalnych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wymagających wsparcia procesów rozwojowych </w:t>
      </w:r>
      <w:r w:rsidR="008B2310" w:rsidRPr="00ED4D23">
        <w:rPr>
          <w:rFonts w:ascii="Verdana" w:hAnsi="Verdana"/>
          <w:sz w:val="16"/>
          <w:szCs w:val="16"/>
        </w:rPr>
        <w:t>zgodnie z „Wykazem Wiejskich obszarów funkcjonalnych wymagających wsparcia procesów rozwojowych w województwie wielkopolskim”</w:t>
      </w:r>
      <w:r w:rsidR="008B2310">
        <w:rPr>
          <w:rFonts w:ascii="Verdana" w:hAnsi="Verdana"/>
          <w:sz w:val="16"/>
          <w:szCs w:val="16"/>
        </w:rPr>
        <w:t>;</w:t>
      </w:r>
    </w:p>
    <w:p w14:paraId="0720B033" w14:textId="2D967680" w:rsidR="00447DD1" w:rsidRDefault="00E90C58" w:rsidP="00E90C58">
      <w:pPr>
        <w:pStyle w:val="Akapitzlist"/>
        <w:numPr>
          <w:ilvl w:val="0"/>
          <w:numId w:val="38"/>
        </w:numPr>
        <w:spacing w:line="240" w:lineRule="auto"/>
        <w:ind w:left="108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przedsięwzięć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przyczyniających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się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do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przeciwdziałania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epidemii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COVID-19,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o których mowa w pkt</w:t>
      </w:r>
      <w:r w:rsidR="00E8224A">
        <w:rPr>
          <w:rFonts w:ascii="Verdana" w:hAnsi="Verdana"/>
          <w:bCs/>
          <w:sz w:val="16"/>
          <w:szCs w:val="16"/>
        </w:rPr>
        <w:t>.</w:t>
      </w:r>
      <w:r w:rsidRPr="00447DD1">
        <w:rPr>
          <w:rFonts w:ascii="Verdana" w:hAnsi="Verdana"/>
          <w:bCs/>
          <w:sz w:val="16"/>
          <w:szCs w:val="16"/>
        </w:rPr>
        <w:t xml:space="preserve"> III.2.,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</w:p>
    <w:p w14:paraId="1166F37C" w14:textId="6609888F" w:rsidR="00E90C58" w:rsidRPr="00447DD1" w:rsidRDefault="00E90C58" w:rsidP="00F95821">
      <w:pPr>
        <w:spacing w:after="120" w:line="240" w:lineRule="auto"/>
        <w:ind w:left="363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lastRenderedPageBreak/>
        <w:t xml:space="preserve">zgodnie z zasadami udzielania pomocy de </w:t>
      </w:r>
      <w:proofErr w:type="spellStart"/>
      <w:r w:rsidRPr="00447DD1">
        <w:rPr>
          <w:rFonts w:ascii="Verdana" w:hAnsi="Verdana"/>
          <w:bCs/>
          <w:sz w:val="16"/>
          <w:szCs w:val="16"/>
        </w:rPr>
        <w:t>minimis</w:t>
      </w:r>
      <w:proofErr w:type="spellEnd"/>
      <w:r w:rsidRPr="00447DD1">
        <w:rPr>
          <w:rFonts w:ascii="Verdana" w:hAnsi="Verdana"/>
          <w:bCs/>
          <w:sz w:val="16"/>
          <w:szCs w:val="16"/>
        </w:rPr>
        <w:t>, o których mowa w Rozporządzeniu Komisji (UE)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nr 1407/2013 z dnia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>18 grudnia 2013 r. w sprawie stosowania art. 107 i 108 Traktatu o funkcjonowaniu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Unii Europejskiej do pomocy de </w:t>
      </w:r>
      <w:proofErr w:type="spellStart"/>
      <w:r w:rsidRPr="00447DD1">
        <w:rPr>
          <w:rFonts w:ascii="Verdana" w:hAnsi="Verdana"/>
          <w:bCs/>
          <w:sz w:val="16"/>
          <w:szCs w:val="16"/>
        </w:rPr>
        <w:t>minimis</w:t>
      </w:r>
      <w:proofErr w:type="spellEnd"/>
      <w:r w:rsidRPr="00447DD1">
        <w:rPr>
          <w:rFonts w:ascii="Verdana" w:hAnsi="Verdana"/>
          <w:bCs/>
          <w:sz w:val="16"/>
          <w:szCs w:val="16"/>
        </w:rPr>
        <w:t xml:space="preserve"> oraz Rozporządzeniu Ministra Infrastruktury i Rozwoju z dnia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19 marca 2015 r. w sprawie udzielania pomocy de </w:t>
      </w:r>
      <w:proofErr w:type="spellStart"/>
      <w:r w:rsidRPr="00447DD1">
        <w:rPr>
          <w:rFonts w:ascii="Verdana" w:hAnsi="Verdana"/>
          <w:bCs/>
          <w:sz w:val="16"/>
          <w:szCs w:val="16"/>
        </w:rPr>
        <w:t>minimis</w:t>
      </w:r>
      <w:proofErr w:type="spellEnd"/>
      <w:r w:rsidRPr="00447DD1">
        <w:rPr>
          <w:rFonts w:ascii="Verdana" w:hAnsi="Verdana"/>
          <w:bCs/>
          <w:sz w:val="16"/>
          <w:szCs w:val="16"/>
        </w:rPr>
        <w:t xml:space="preserve">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>w ramach regionalnych programów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operacyjnych na lata 2014–2020 (Dz.U. 2015 poz. 488 z </w:t>
      </w:r>
      <w:proofErr w:type="spellStart"/>
      <w:r w:rsidRPr="00447DD1">
        <w:rPr>
          <w:rFonts w:ascii="Verdana" w:hAnsi="Verdana"/>
          <w:bCs/>
          <w:sz w:val="16"/>
          <w:szCs w:val="16"/>
        </w:rPr>
        <w:t>późn</w:t>
      </w:r>
      <w:proofErr w:type="spellEnd"/>
      <w:r w:rsidRPr="00447DD1">
        <w:rPr>
          <w:rFonts w:ascii="Verdana" w:hAnsi="Verdana"/>
          <w:bCs/>
          <w:sz w:val="16"/>
          <w:szCs w:val="16"/>
        </w:rPr>
        <w:t>. zmianami), przy czym:</w:t>
      </w:r>
    </w:p>
    <w:p w14:paraId="6D350E85" w14:textId="4F4DF3FC" w:rsidR="00447DD1" w:rsidRDefault="00E90C58" w:rsidP="00447DD1">
      <w:pPr>
        <w:pStyle w:val="Akapitzlist"/>
        <w:numPr>
          <w:ilvl w:val="0"/>
          <w:numId w:val="40"/>
        </w:numPr>
        <w:spacing w:line="240" w:lineRule="auto"/>
        <w:ind w:left="108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oprocentowanie Pożyczki udzielanej na warunkach korzystniejszych niż rynkowe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jest stałe w całym okresie </w:t>
      </w:r>
      <w:r w:rsidR="00F95821">
        <w:rPr>
          <w:rFonts w:ascii="Verdana" w:hAnsi="Verdana"/>
          <w:bCs/>
          <w:sz w:val="16"/>
          <w:szCs w:val="16"/>
        </w:rPr>
        <w:t xml:space="preserve">                  </w:t>
      </w:r>
      <w:r w:rsidRPr="00447DD1">
        <w:rPr>
          <w:rFonts w:ascii="Verdana" w:hAnsi="Verdana"/>
          <w:bCs/>
          <w:sz w:val="16"/>
          <w:szCs w:val="16"/>
        </w:rPr>
        <w:t>jej obowiązywania i jest równe wysokości stopy referencyjnej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obliczonej dla danego MŚP, pomniejszonej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>o 1 punkt procentowy, ale nie niższe niż wysokość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stopy bazowej z dnia zawarcia Umowy Inwestycyjnej, </w:t>
      </w:r>
      <w:r w:rsidR="00FA058D">
        <w:rPr>
          <w:rFonts w:ascii="Verdana" w:hAnsi="Verdana"/>
          <w:bCs/>
          <w:sz w:val="16"/>
          <w:szCs w:val="16"/>
        </w:rPr>
        <w:br/>
      </w:r>
      <w:r w:rsidRPr="00447DD1">
        <w:rPr>
          <w:rFonts w:ascii="Verdana" w:hAnsi="Verdana"/>
          <w:bCs/>
          <w:sz w:val="16"/>
          <w:szCs w:val="16"/>
        </w:rPr>
        <w:t>z zastrzeżeniem lit. b poniżej;</w:t>
      </w:r>
    </w:p>
    <w:p w14:paraId="5DE51BAE" w14:textId="4D2627D1" w:rsidR="00447DD1" w:rsidRPr="00F95821" w:rsidRDefault="00E90C58" w:rsidP="00F95821">
      <w:pPr>
        <w:pStyle w:val="Akapitzlist"/>
        <w:numPr>
          <w:ilvl w:val="0"/>
          <w:numId w:val="40"/>
        </w:numPr>
        <w:spacing w:after="120" w:line="240" w:lineRule="auto"/>
        <w:ind w:left="1077" w:hanging="357"/>
        <w:contextualSpacing w:val="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oprocentowanie Pożyczki udzielanej MŚP w fazie start-</w:t>
      </w:r>
      <w:proofErr w:type="spellStart"/>
      <w:r w:rsidRPr="00447DD1">
        <w:rPr>
          <w:rFonts w:ascii="Verdana" w:hAnsi="Verdana"/>
          <w:bCs/>
          <w:sz w:val="16"/>
          <w:szCs w:val="16"/>
        </w:rPr>
        <w:t>up</w:t>
      </w:r>
      <w:proofErr w:type="spellEnd"/>
      <w:r w:rsidRPr="00447DD1">
        <w:rPr>
          <w:rFonts w:ascii="Verdana" w:hAnsi="Verdana"/>
          <w:bCs/>
          <w:sz w:val="16"/>
          <w:szCs w:val="16"/>
        </w:rPr>
        <w:t xml:space="preserve"> jest równe wysokości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stopy bazowej z dnia zawarcia Umowy Inwestycyjnej i jest stałe w całym okresie</w:t>
      </w:r>
      <w:r w:rsidR="00447DD1" w:rsidRP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jej obowiązywania.</w:t>
      </w:r>
    </w:p>
    <w:p w14:paraId="1580536E" w14:textId="6395CCF0" w:rsidR="00447DD1" w:rsidRDefault="008B2310" w:rsidP="00F95821">
      <w:pPr>
        <w:pStyle w:val="Akapitzlist"/>
        <w:numPr>
          <w:ilvl w:val="0"/>
          <w:numId w:val="37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w </w:t>
      </w:r>
      <w:r w:rsidR="00E90C58" w:rsidRPr="00447DD1">
        <w:rPr>
          <w:rFonts w:ascii="Verdana" w:hAnsi="Verdana"/>
          <w:bCs/>
          <w:sz w:val="16"/>
          <w:szCs w:val="16"/>
        </w:rPr>
        <w:t>przypadku Ostatecznych Odbiorców dotkniętych negatywnymi skutkami epidemii COVID-19, na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>ich uzasadniony wniosek, oprocentowanie może zostać ustalone na poziomie niższym niż w pkt.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 xml:space="preserve">a i b powyżej, o ile takie obniżenie </w:t>
      </w:r>
      <w:r w:rsidR="00FA058D">
        <w:rPr>
          <w:rFonts w:ascii="Verdana" w:hAnsi="Verdana"/>
          <w:bCs/>
          <w:sz w:val="16"/>
          <w:szCs w:val="16"/>
        </w:rPr>
        <w:br/>
      </w:r>
      <w:r w:rsidR="00E90C58" w:rsidRPr="00447DD1">
        <w:rPr>
          <w:rFonts w:ascii="Verdana" w:hAnsi="Verdana"/>
          <w:bCs/>
          <w:sz w:val="16"/>
          <w:szCs w:val="16"/>
        </w:rPr>
        <w:t>w danym przypadku jest dopuszczalne na podstawie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 xml:space="preserve">przepisów regulujących zasady udzielania pomocy de </w:t>
      </w:r>
      <w:proofErr w:type="spellStart"/>
      <w:r w:rsidR="00E90C58" w:rsidRPr="00447DD1">
        <w:rPr>
          <w:rFonts w:ascii="Verdana" w:hAnsi="Verdana"/>
          <w:bCs/>
          <w:sz w:val="16"/>
          <w:szCs w:val="16"/>
        </w:rPr>
        <w:t>minimis</w:t>
      </w:r>
      <w:proofErr w:type="spellEnd"/>
      <w:r w:rsidR="00E90C58" w:rsidRPr="00447DD1">
        <w:rPr>
          <w:rFonts w:ascii="Verdana" w:hAnsi="Verdana"/>
          <w:bCs/>
          <w:sz w:val="16"/>
          <w:szCs w:val="16"/>
        </w:rPr>
        <w:t>. Obniżenie oprocentowania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>może dotyczyć zarówno Pożyczek udzielonych przed, jak i po 20 marca 2020 r.,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F95821">
        <w:rPr>
          <w:rFonts w:ascii="Verdana" w:hAnsi="Verdana"/>
          <w:bCs/>
          <w:sz w:val="16"/>
          <w:szCs w:val="16"/>
        </w:rPr>
        <w:t xml:space="preserve">                       </w:t>
      </w:r>
      <w:r w:rsidR="00E90C58" w:rsidRPr="00447DD1">
        <w:rPr>
          <w:rFonts w:ascii="Verdana" w:hAnsi="Verdana"/>
          <w:bCs/>
          <w:sz w:val="16"/>
          <w:szCs w:val="16"/>
        </w:rPr>
        <w:t>ale nie później niż do 3</w:t>
      </w:r>
      <w:r w:rsidR="00F95821">
        <w:rPr>
          <w:rFonts w:ascii="Verdana" w:hAnsi="Verdana"/>
          <w:bCs/>
          <w:sz w:val="16"/>
          <w:szCs w:val="16"/>
        </w:rPr>
        <w:t>0</w:t>
      </w:r>
      <w:r w:rsidR="00A2440B">
        <w:rPr>
          <w:rFonts w:ascii="Verdana" w:hAnsi="Verdana"/>
          <w:bCs/>
          <w:sz w:val="16"/>
          <w:szCs w:val="16"/>
        </w:rPr>
        <w:t xml:space="preserve"> czerwca </w:t>
      </w:r>
      <w:r w:rsidR="00F95821">
        <w:rPr>
          <w:rFonts w:ascii="Verdana" w:hAnsi="Verdana"/>
          <w:bCs/>
          <w:sz w:val="16"/>
          <w:szCs w:val="16"/>
        </w:rPr>
        <w:t>2021</w:t>
      </w:r>
      <w:r w:rsidR="00E90C58" w:rsidRPr="00447DD1">
        <w:rPr>
          <w:rFonts w:ascii="Verdana" w:hAnsi="Verdana"/>
          <w:bCs/>
          <w:sz w:val="16"/>
          <w:szCs w:val="16"/>
        </w:rPr>
        <w:t xml:space="preserve"> r</w:t>
      </w:r>
      <w:r w:rsidR="003070CA">
        <w:rPr>
          <w:rFonts w:ascii="Verdana" w:hAnsi="Verdana"/>
          <w:bCs/>
          <w:sz w:val="16"/>
          <w:szCs w:val="16"/>
        </w:rPr>
        <w:t>oku</w:t>
      </w:r>
      <w:r w:rsidR="00E90C58" w:rsidRPr="00447DD1">
        <w:rPr>
          <w:rFonts w:ascii="Verdana" w:hAnsi="Verdana"/>
          <w:bCs/>
          <w:sz w:val="16"/>
          <w:szCs w:val="16"/>
        </w:rPr>
        <w:t>.</w:t>
      </w:r>
    </w:p>
    <w:p w14:paraId="5B41F618" w14:textId="55A1BFB2" w:rsidR="00447DD1" w:rsidRPr="00F95821" w:rsidRDefault="00E90C58" w:rsidP="00F95821">
      <w:pPr>
        <w:pStyle w:val="Akapitzlist"/>
        <w:numPr>
          <w:ilvl w:val="0"/>
          <w:numId w:val="37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na warunkach korzystniejszych niż rynkowe zgodnie z zasadami udzielania pomocy określonymi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w Rozporządzeniu Ministra Funduszy i Polityki Regionalnej z dnia 14 kwietnia 2020 r. </w:t>
      </w:r>
      <w:r w:rsidR="00F95821" w:rsidRPr="00447DD1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F95821" w:rsidRPr="00447DD1">
        <w:rPr>
          <w:rFonts w:ascii="Verdana" w:hAnsi="Verdana"/>
          <w:bCs/>
          <w:sz w:val="16"/>
          <w:szCs w:val="16"/>
        </w:rPr>
        <w:t>późn</w:t>
      </w:r>
      <w:proofErr w:type="spellEnd"/>
      <w:r w:rsidR="00F95821" w:rsidRPr="00447DD1">
        <w:rPr>
          <w:rFonts w:ascii="Verdana" w:hAnsi="Verdana"/>
          <w:bCs/>
          <w:sz w:val="16"/>
          <w:szCs w:val="16"/>
        </w:rPr>
        <w:t xml:space="preserve">. zmianami </w:t>
      </w:r>
      <w:r w:rsidRPr="00447DD1">
        <w:rPr>
          <w:rFonts w:ascii="Verdana" w:hAnsi="Verdana"/>
          <w:bCs/>
          <w:sz w:val="16"/>
          <w:szCs w:val="16"/>
        </w:rPr>
        <w:t>w sprawie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udzielania pomocy </w:t>
      </w:r>
      <w:r w:rsidR="00F95821">
        <w:rPr>
          <w:rFonts w:ascii="Verdana" w:hAnsi="Verdana"/>
          <w:bCs/>
          <w:sz w:val="16"/>
          <w:szCs w:val="16"/>
        </w:rPr>
        <w:t xml:space="preserve">                      </w:t>
      </w:r>
      <w:r w:rsidRPr="00447DD1">
        <w:rPr>
          <w:rFonts w:ascii="Verdana" w:hAnsi="Verdana"/>
          <w:bCs/>
          <w:sz w:val="16"/>
          <w:szCs w:val="16"/>
        </w:rPr>
        <w:t>z instrumentów finansowych w ramach programów operacyjnych na lata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2014-2020 w celu wspierania polskiej gospodarki w związku z wystąpieniem pandemii COVID-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19 lub Rozporządzenia Ministra Funduszy i Polityki Regionalnej </w:t>
      </w:r>
      <w:r w:rsidR="00B70CD6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z dnia 26 maja 2020 r. </w:t>
      </w:r>
      <w:r w:rsidR="00B70CD6" w:rsidRPr="00447DD1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B70CD6" w:rsidRPr="00447DD1">
        <w:rPr>
          <w:rFonts w:ascii="Verdana" w:hAnsi="Verdana"/>
          <w:bCs/>
          <w:sz w:val="16"/>
          <w:szCs w:val="16"/>
        </w:rPr>
        <w:t>późn</w:t>
      </w:r>
      <w:proofErr w:type="spellEnd"/>
      <w:r w:rsidR="00B70CD6" w:rsidRPr="00447DD1">
        <w:rPr>
          <w:rFonts w:ascii="Verdana" w:hAnsi="Verdana"/>
          <w:bCs/>
          <w:sz w:val="16"/>
          <w:szCs w:val="16"/>
        </w:rPr>
        <w:t xml:space="preserve">. zmianami </w:t>
      </w:r>
      <w:r w:rsidRPr="00447DD1">
        <w:rPr>
          <w:rFonts w:ascii="Verdana" w:hAnsi="Verdana"/>
          <w:bCs/>
          <w:sz w:val="16"/>
          <w:szCs w:val="16"/>
        </w:rPr>
        <w:t>w sprawie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udzielania pomocy w uproszczonej formie wsparcia zwrotnego </w:t>
      </w:r>
      <w:r w:rsidR="003B2E1A">
        <w:rPr>
          <w:rFonts w:ascii="Verdana" w:hAnsi="Verdana"/>
          <w:bCs/>
          <w:sz w:val="16"/>
          <w:szCs w:val="16"/>
        </w:rPr>
        <w:t xml:space="preserve">                  </w:t>
      </w:r>
      <w:r w:rsidRPr="00447DD1">
        <w:rPr>
          <w:rFonts w:ascii="Verdana" w:hAnsi="Verdana"/>
          <w:bCs/>
          <w:sz w:val="16"/>
          <w:szCs w:val="16"/>
        </w:rPr>
        <w:t>ze środków instrumentów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inżynierii finansowej podlegających ponownemu wykorzystaniu oraz z instrumentów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finansowych w ramach programów operacyjnych na lata 2014-2020 w celu wspierania polskiej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gospodarki w związku </w:t>
      </w:r>
      <w:r w:rsidR="003B2E1A">
        <w:rPr>
          <w:rFonts w:ascii="Verdana" w:hAnsi="Verdana"/>
          <w:bCs/>
          <w:sz w:val="16"/>
          <w:szCs w:val="16"/>
        </w:rPr>
        <w:t xml:space="preserve">                   </w:t>
      </w:r>
      <w:r w:rsidRPr="00447DD1">
        <w:rPr>
          <w:rFonts w:ascii="Verdana" w:hAnsi="Verdana"/>
          <w:bCs/>
          <w:sz w:val="16"/>
          <w:szCs w:val="16"/>
        </w:rPr>
        <w:t>z wystąpieniem pandemii COVID-19.</w:t>
      </w:r>
    </w:p>
    <w:p w14:paraId="20122F12" w14:textId="77777777" w:rsidR="00447DD1" w:rsidRDefault="00E90C58" w:rsidP="00E90C58">
      <w:pPr>
        <w:pStyle w:val="Akapitzlist"/>
        <w:numPr>
          <w:ilvl w:val="0"/>
          <w:numId w:val="36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 w:rsidRPr="00447DD1">
        <w:rPr>
          <w:rFonts w:ascii="Verdana" w:hAnsi="Verdana"/>
          <w:bCs/>
          <w:sz w:val="16"/>
          <w:szCs w:val="16"/>
        </w:rPr>
        <w:t>W przypadku niespełnienia przez Ostatecznego Odbiorcę jakiegokolwiek z warunków umożliwiających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 xml:space="preserve">udzielenie pomocy publicznej lub pomocy de </w:t>
      </w:r>
      <w:proofErr w:type="spellStart"/>
      <w:r w:rsidRPr="00447DD1">
        <w:rPr>
          <w:rFonts w:ascii="Verdana" w:hAnsi="Verdana"/>
          <w:bCs/>
          <w:sz w:val="16"/>
          <w:szCs w:val="16"/>
        </w:rPr>
        <w:t>minimis</w:t>
      </w:r>
      <w:proofErr w:type="spellEnd"/>
      <w:r w:rsidRPr="00447DD1">
        <w:rPr>
          <w:rFonts w:ascii="Verdana" w:hAnsi="Verdana"/>
          <w:bCs/>
          <w:sz w:val="16"/>
          <w:szCs w:val="16"/>
        </w:rPr>
        <w:t xml:space="preserve"> finansowanie jest udzielane na warunkach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Pr="00447DD1">
        <w:rPr>
          <w:rFonts w:ascii="Verdana" w:hAnsi="Verdana"/>
          <w:bCs/>
          <w:sz w:val="16"/>
          <w:szCs w:val="16"/>
        </w:rPr>
        <w:t>rynkowych.</w:t>
      </w:r>
    </w:p>
    <w:p w14:paraId="7764EE15" w14:textId="62876896" w:rsidR="00E90C58" w:rsidRDefault="007510B9" w:rsidP="00E90C58">
      <w:pPr>
        <w:pStyle w:val="Akapitzlist"/>
        <w:numPr>
          <w:ilvl w:val="0"/>
          <w:numId w:val="36"/>
        </w:numPr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FUNDUSZ</w:t>
      </w:r>
      <w:r w:rsidRPr="00447DD1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>nie pobiera żadnych opłat i prowizji związanych z udzieleniem i obsługą</w:t>
      </w:r>
      <w:r w:rsidR="00447DD1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>Pożyczki.</w:t>
      </w:r>
      <w:r w:rsidR="003B2E1A">
        <w:rPr>
          <w:rFonts w:ascii="Verdana" w:hAnsi="Verdana"/>
          <w:bCs/>
          <w:sz w:val="16"/>
          <w:szCs w:val="16"/>
        </w:rPr>
        <w:t xml:space="preserve"> </w:t>
      </w:r>
      <w:r w:rsidR="00E90C58" w:rsidRPr="00447DD1">
        <w:rPr>
          <w:rFonts w:ascii="Verdana" w:hAnsi="Verdana"/>
          <w:bCs/>
          <w:sz w:val="16"/>
          <w:szCs w:val="16"/>
        </w:rPr>
        <w:t>Powyższe nie dotyczy odrębnie uregulowanych czynności windykacyjnych.</w:t>
      </w:r>
    </w:p>
    <w:p w14:paraId="6EE6E6AB" w14:textId="2B2C1AB2" w:rsidR="00447DD1" w:rsidRDefault="00447DD1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5608D9C8" w14:textId="2C97B38F" w:rsidR="00447DD1" w:rsidRDefault="00447DD1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52D04FFC" w14:textId="1C996AFD" w:rsidR="00447DD1" w:rsidRDefault="00447DD1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44AA29BA" w14:textId="5BE3CA75" w:rsidR="00447DD1" w:rsidRDefault="00447DD1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4CDAD68D" w14:textId="0265B638" w:rsidR="00A61EE9" w:rsidRDefault="00A61EE9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130C3167" w14:textId="77777777" w:rsidR="00A61EE9" w:rsidRDefault="00A61EE9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24655D85" w14:textId="5FC16C84" w:rsidR="00447DD1" w:rsidRDefault="00447DD1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1A6CDC72" w14:textId="77777777" w:rsidR="00447DD1" w:rsidRDefault="00447DD1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443F582B" w14:textId="77777777" w:rsidR="00BB3C5A" w:rsidRDefault="00BB3C5A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4D264A81" w14:textId="77777777" w:rsidR="00BB3C5A" w:rsidRDefault="00BB3C5A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51050B62" w14:textId="77777777" w:rsidR="00BB3C5A" w:rsidRDefault="00BB3C5A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4992843F" w14:textId="77777777" w:rsidR="00BB3C5A" w:rsidRPr="00447DD1" w:rsidRDefault="00BB3C5A" w:rsidP="00447DD1">
      <w:pPr>
        <w:pStyle w:val="Akapitzlist"/>
        <w:spacing w:line="240" w:lineRule="auto"/>
        <w:ind w:left="360"/>
        <w:jc w:val="both"/>
        <w:rPr>
          <w:rFonts w:ascii="Verdana" w:hAnsi="Verdana"/>
          <w:bCs/>
          <w:sz w:val="16"/>
          <w:szCs w:val="16"/>
        </w:rPr>
      </w:pPr>
    </w:p>
    <w:p w14:paraId="0E3C4D8A" w14:textId="77777777" w:rsidR="00EA59E4" w:rsidRPr="00E90C58" w:rsidRDefault="00B57AA9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……………………………</w:t>
      </w:r>
      <w:r w:rsidR="00EA59E4" w:rsidRPr="00E90C58">
        <w:rPr>
          <w:rFonts w:ascii="Verdana" w:hAnsi="Verdana"/>
          <w:bCs/>
          <w:sz w:val="16"/>
          <w:szCs w:val="16"/>
        </w:rPr>
        <w:t>………………………………………………………</w:t>
      </w:r>
    </w:p>
    <w:p w14:paraId="3A77677F" w14:textId="1C1B8BAB" w:rsidR="00EA59E4" w:rsidRPr="00E90C58" w:rsidRDefault="00B57AA9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   </w:t>
      </w:r>
      <w:r w:rsidR="00EA59E4" w:rsidRPr="00E90C58">
        <w:rPr>
          <w:rFonts w:ascii="Verdana" w:hAnsi="Verdana"/>
          <w:bCs/>
          <w:sz w:val="16"/>
          <w:szCs w:val="16"/>
        </w:rPr>
        <w:t>(pieczątka firmowa i podpis osoby/</w:t>
      </w:r>
      <w:r w:rsidR="00770EF8" w:rsidRPr="00E90C58">
        <w:rPr>
          <w:rFonts w:ascii="Verdana" w:hAnsi="Verdana"/>
          <w:bCs/>
          <w:sz w:val="16"/>
          <w:szCs w:val="16"/>
        </w:rPr>
        <w:t>podpisy osób</w:t>
      </w:r>
    </w:p>
    <w:p w14:paraId="11CA4E1A" w14:textId="20B5F851" w:rsidR="00EA59E4" w:rsidRPr="00E90C58" w:rsidRDefault="00770EF8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    działającej/</w:t>
      </w:r>
      <w:r w:rsidR="00EA59E4" w:rsidRPr="00E90C58">
        <w:rPr>
          <w:rFonts w:ascii="Verdana" w:hAnsi="Verdana"/>
          <w:bCs/>
          <w:sz w:val="16"/>
          <w:szCs w:val="16"/>
        </w:rPr>
        <w:t>działających w imieniu FUNDUSZU)</w:t>
      </w:r>
    </w:p>
    <w:p w14:paraId="1923028E" w14:textId="77777777" w:rsidR="00EA59E4" w:rsidRPr="00E90C58" w:rsidRDefault="00EA59E4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6F25C385" w14:textId="77777777" w:rsidR="00770EF8" w:rsidRPr="00E90C58" w:rsidRDefault="00770EF8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16CABF87" w14:textId="77777777" w:rsidR="00DB7E52" w:rsidRPr="00E90C58" w:rsidRDefault="00DB7E52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7B225B68" w14:textId="19200111" w:rsidR="00CE7A8C" w:rsidRDefault="00D10852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Oświadczam, iż zapoznałem się z treścią niniejszego dokumentu:</w:t>
      </w:r>
    </w:p>
    <w:p w14:paraId="259A8836" w14:textId="34685509" w:rsidR="00A61EE9" w:rsidRDefault="00A61EE9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219316CF" w14:textId="77777777" w:rsidR="00A61EE9" w:rsidRDefault="00A61EE9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7BD59FDF" w14:textId="77777777" w:rsidR="00D10852" w:rsidRDefault="00D10852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6EA0A05E" w14:textId="77777777" w:rsidR="00D10852" w:rsidRPr="00E90C58" w:rsidRDefault="00D10852" w:rsidP="00E90C58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70199BEA" w14:textId="77777777" w:rsidR="00CE7A8C" w:rsidRPr="00E90C58" w:rsidRDefault="00CE7A8C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217F5905" w14:textId="77777777" w:rsidR="00CE7A8C" w:rsidRPr="00E90C58" w:rsidRDefault="00CE7A8C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2D86D5C8" w14:textId="77777777" w:rsidR="00CE7A8C" w:rsidRPr="00E90C58" w:rsidRDefault="00CE7A8C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28C41FA4" w14:textId="77777777" w:rsidR="00CE7A8C" w:rsidRPr="00E90C58" w:rsidRDefault="00CE7A8C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06FEA315" w14:textId="28F70AF5" w:rsidR="00770EF8" w:rsidRPr="00E90C58" w:rsidRDefault="00770EF8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……………………………………………………………………………………          </w:t>
      </w:r>
    </w:p>
    <w:p w14:paraId="57A59422" w14:textId="77777777" w:rsidR="00D10852" w:rsidRDefault="00D10852" w:rsidP="00D10852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</w:t>
      </w:r>
      <w:r w:rsidR="00770EF8" w:rsidRPr="00E90C58">
        <w:rPr>
          <w:rFonts w:ascii="Verdana" w:hAnsi="Verdana"/>
          <w:bCs/>
          <w:sz w:val="16"/>
          <w:szCs w:val="16"/>
        </w:rPr>
        <w:t>(pieczątka firmowa i podpis osoby/podpisy osób</w:t>
      </w:r>
      <w:r w:rsidR="00A61EE9">
        <w:rPr>
          <w:rFonts w:ascii="Verdana" w:hAnsi="Verdana"/>
          <w:bCs/>
          <w:sz w:val="16"/>
          <w:szCs w:val="16"/>
        </w:rPr>
        <w:t xml:space="preserve">    </w:t>
      </w:r>
    </w:p>
    <w:p w14:paraId="71C3218F" w14:textId="0630CC73" w:rsidR="00770EF8" w:rsidRPr="00E90C58" w:rsidRDefault="00A61EE9" w:rsidP="00D10852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>działającej/działających w imieniu Pożyczkobiorcy)</w:t>
      </w:r>
    </w:p>
    <w:p w14:paraId="65EB6F58" w14:textId="43FFB631" w:rsidR="00EA59E4" w:rsidRPr="00E90C58" w:rsidRDefault="00770EF8" w:rsidP="00E90C58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sectPr w:rsidR="00EA59E4" w:rsidRPr="00E90C58" w:rsidSect="00B20D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426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D2CCE" w14:textId="77777777" w:rsidR="00BA5A39" w:rsidRDefault="00BA5A39" w:rsidP="00A76FE4">
      <w:pPr>
        <w:spacing w:after="0" w:line="240" w:lineRule="auto"/>
      </w:pPr>
      <w:r>
        <w:separator/>
      </w:r>
    </w:p>
  </w:endnote>
  <w:endnote w:type="continuationSeparator" w:id="0">
    <w:p w14:paraId="028DAE5D" w14:textId="77777777" w:rsidR="00BA5A39" w:rsidRDefault="00BA5A39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D829" w14:textId="77777777" w:rsidR="00A76FE4" w:rsidRDefault="005C005B" w:rsidP="005C005B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868" wp14:editId="5E342DD6">
          <wp:simplePos x="0" y="0"/>
          <wp:positionH relativeFrom="margin">
            <wp:posOffset>-358140</wp:posOffset>
          </wp:positionH>
          <wp:positionV relativeFrom="paragraph">
            <wp:posOffset>222885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ab/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3043A3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3043A3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3BED" w14:textId="77777777" w:rsidR="00A76FE4" w:rsidRDefault="005C005B" w:rsidP="005C005B">
    <w:pPr>
      <w:pStyle w:val="Stopka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9F13A8A" wp14:editId="565F7422">
          <wp:simplePos x="0" y="0"/>
          <wp:positionH relativeFrom="margin">
            <wp:posOffset>-348615</wp:posOffset>
          </wp:positionH>
          <wp:positionV relativeFrom="paragraph">
            <wp:posOffset>222885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ab/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3043A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3043A3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9F3F" w14:textId="77777777" w:rsidR="00BA5A39" w:rsidRDefault="00BA5A39" w:rsidP="00A76FE4">
      <w:pPr>
        <w:spacing w:after="0" w:line="240" w:lineRule="auto"/>
      </w:pPr>
      <w:r>
        <w:separator/>
      </w:r>
    </w:p>
  </w:footnote>
  <w:footnote w:type="continuationSeparator" w:id="0">
    <w:p w14:paraId="35B563EC" w14:textId="77777777" w:rsidR="00BA5A39" w:rsidRDefault="00BA5A39" w:rsidP="00A76FE4">
      <w:pPr>
        <w:spacing w:after="0" w:line="240" w:lineRule="auto"/>
      </w:pPr>
      <w:r>
        <w:continuationSeparator/>
      </w:r>
    </w:p>
  </w:footnote>
  <w:footnote w:id="1">
    <w:p w14:paraId="0627DC69" w14:textId="5B42662F" w:rsidR="00547EF5" w:rsidRPr="00547EF5" w:rsidRDefault="00547EF5" w:rsidP="00AD044A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547EF5">
        <w:rPr>
          <w:rStyle w:val="Odwoanieprzypisudolnego"/>
          <w:rFonts w:ascii="Verdana" w:hAnsi="Verdana"/>
          <w:sz w:val="14"/>
          <w:szCs w:val="14"/>
        </w:rPr>
        <w:footnoteRef/>
      </w:r>
      <w:r w:rsidRPr="00547EF5">
        <w:rPr>
          <w:rFonts w:ascii="Verdana" w:hAnsi="Verdana"/>
          <w:sz w:val="14"/>
          <w:szCs w:val="14"/>
        </w:rPr>
        <w:t xml:space="preserve"> Obejmujące produkcję wyrobów służących zwalczaniu epidemii COVID-19, takich jak produkty lecznicze (w tym szczepionki) i</w:t>
      </w:r>
      <w:r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 xml:space="preserve">terapie, </w:t>
      </w:r>
      <w:r w:rsidR="00AD044A">
        <w:rPr>
          <w:rFonts w:ascii="Verdana" w:hAnsi="Verdana"/>
          <w:sz w:val="14"/>
          <w:szCs w:val="14"/>
        </w:rPr>
        <w:t xml:space="preserve">                         </w:t>
      </w:r>
      <w:r w:rsidRPr="00547EF5">
        <w:rPr>
          <w:rFonts w:ascii="Verdana" w:hAnsi="Verdana"/>
          <w:sz w:val="14"/>
          <w:szCs w:val="14"/>
        </w:rPr>
        <w:t>ich</w:t>
      </w:r>
      <w:r w:rsidR="00AD044A"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>półprodukty, farmaceutyczne składniki czynne i surowce; wyrobów medycznych oraz sprzętu szpitalnego i medycznego</w:t>
      </w:r>
      <w:r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>(w tym respiratorów,</w:t>
      </w:r>
      <w:r w:rsidR="00AD044A"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>odzieży i sprzętu ochronnego, a także narzędzi diagnostycznych) oraz niezbędnych surowców; środków</w:t>
      </w:r>
      <w:r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>odkażających i ich produktów pośrednich</w:t>
      </w:r>
      <w:r w:rsidR="00AD044A"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>oraz surowców chemicznych niezbędnych do ich produkcji; narzędzi do</w:t>
      </w:r>
      <w:r>
        <w:rPr>
          <w:rFonts w:ascii="Verdana" w:hAnsi="Verdana"/>
          <w:sz w:val="14"/>
          <w:szCs w:val="14"/>
        </w:rPr>
        <w:t xml:space="preserve"> </w:t>
      </w:r>
      <w:r w:rsidRPr="00547EF5">
        <w:rPr>
          <w:rFonts w:ascii="Verdana" w:hAnsi="Verdana"/>
          <w:sz w:val="14"/>
          <w:szCs w:val="14"/>
        </w:rPr>
        <w:t>gromadzenia/przetwarzania danych.</w:t>
      </w:r>
    </w:p>
  </w:footnote>
  <w:footnote w:id="2">
    <w:p w14:paraId="466E47B7" w14:textId="2AFCB4D4" w:rsidR="00962F6C" w:rsidRPr="00962F6C" w:rsidRDefault="00962F6C" w:rsidP="00AD044A">
      <w:pPr>
        <w:pStyle w:val="Tekstprzypisudolnego"/>
        <w:ind w:left="14" w:hanging="14"/>
        <w:jc w:val="both"/>
        <w:rPr>
          <w:rFonts w:ascii="Verdana" w:hAnsi="Verdana"/>
          <w:sz w:val="14"/>
          <w:szCs w:val="14"/>
        </w:rPr>
      </w:pPr>
      <w:r w:rsidRPr="00962F6C">
        <w:rPr>
          <w:rStyle w:val="Odwoanieprzypisudolnego"/>
          <w:rFonts w:ascii="Verdana" w:hAnsi="Verdana"/>
          <w:sz w:val="14"/>
          <w:szCs w:val="14"/>
        </w:rPr>
        <w:footnoteRef/>
      </w:r>
      <w:r w:rsidRPr="00962F6C">
        <w:rPr>
          <w:rFonts w:ascii="Verdana" w:hAnsi="Verdana"/>
          <w:sz w:val="14"/>
          <w:szCs w:val="14"/>
        </w:rPr>
        <w:t xml:space="preserve"> Czynności dokonywane na produkcie rolnym objętym Załącznikiem I do Traktatu o funkcjonowaniu Unii Europejskiej,</w:t>
      </w:r>
      <w:r>
        <w:rPr>
          <w:rFonts w:ascii="Verdana" w:hAnsi="Verdana"/>
          <w:sz w:val="14"/>
          <w:szCs w:val="14"/>
        </w:rPr>
        <w:t xml:space="preserve"> </w:t>
      </w:r>
      <w:r w:rsidRPr="00962F6C">
        <w:rPr>
          <w:rFonts w:ascii="Verdana" w:hAnsi="Verdana"/>
          <w:sz w:val="14"/>
          <w:szCs w:val="14"/>
        </w:rPr>
        <w:t>w wyniku których powstaje</w:t>
      </w:r>
      <w:r w:rsidR="00AD044A">
        <w:rPr>
          <w:rFonts w:ascii="Verdana" w:hAnsi="Verdana"/>
          <w:sz w:val="14"/>
          <w:szCs w:val="14"/>
        </w:rPr>
        <w:t xml:space="preserve"> </w:t>
      </w:r>
      <w:r w:rsidRPr="00962F6C">
        <w:rPr>
          <w:rFonts w:ascii="Verdana" w:hAnsi="Verdana"/>
          <w:sz w:val="14"/>
          <w:szCs w:val="14"/>
        </w:rPr>
        <w:t>produkt będący produktem zawartym w ww. Załączniku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B20C" w14:textId="77777777" w:rsidR="00A76FE4" w:rsidRDefault="00A76FE4">
    <w:pPr>
      <w:pStyle w:val="Nagwek"/>
    </w:pPr>
  </w:p>
  <w:p w14:paraId="533C47CE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1401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CF65B4" wp14:editId="397D60A4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46"/>
    <w:multiLevelType w:val="hybridMultilevel"/>
    <w:tmpl w:val="3622F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4031"/>
    <w:multiLevelType w:val="hybridMultilevel"/>
    <w:tmpl w:val="B88C5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7A84"/>
    <w:multiLevelType w:val="hybridMultilevel"/>
    <w:tmpl w:val="0380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B43D6"/>
    <w:multiLevelType w:val="hybridMultilevel"/>
    <w:tmpl w:val="7A1AB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7E1F"/>
    <w:multiLevelType w:val="hybridMultilevel"/>
    <w:tmpl w:val="0380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522"/>
    <w:multiLevelType w:val="hybridMultilevel"/>
    <w:tmpl w:val="221E2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D0F"/>
    <w:multiLevelType w:val="hybridMultilevel"/>
    <w:tmpl w:val="43B4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50B"/>
    <w:multiLevelType w:val="hybridMultilevel"/>
    <w:tmpl w:val="D202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D00"/>
    <w:multiLevelType w:val="hybridMultilevel"/>
    <w:tmpl w:val="920C7D22"/>
    <w:lvl w:ilvl="0" w:tplc="2390D7D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143440"/>
    <w:multiLevelType w:val="hybridMultilevel"/>
    <w:tmpl w:val="972048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23A4B"/>
    <w:multiLevelType w:val="hybridMultilevel"/>
    <w:tmpl w:val="13F2AB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95B0F"/>
    <w:multiLevelType w:val="hybridMultilevel"/>
    <w:tmpl w:val="E6B44304"/>
    <w:lvl w:ilvl="0" w:tplc="3E0A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2218A"/>
    <w:multiLevelType w:val="hybridMultilevel"/>
    <w:tmpl w:val="C16E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B4F8E"/>
    <w:multiLevelType w:val="hybridMultilevel"/>
    <w:tmpl w:val="914C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740DA"/>
    <w:multiLevelType w:val="hybridMultilevel"/>
    <w:tmpl w:val="74184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D6A87"/>
    <w:multiLevelType w:val="hybridMultilevel"/>
    <w:tmpl w:val="049AF14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C489C"/>
    <w:multiLevelType w:val="hybridMultilevel"/>
    <w:tmpl w:val="43B4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67FEC"/>
    <w:multiLevelType w:val="hybridMultilevel"/>
    <w:tmpl w:val="3FA2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C547B"/>
    <w:multiLevelType w:val="hybridMultilevel"/>
    <w:tmpl w:val="98E298F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1AA67CC"/>
    <w:multiLevelType w:val="hybridMultilevel"/>
    <w:tmpl w:val="7FE863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B72017"/>
    <w:multiLevelType w:val="hybridMultilevel"/>
    <w:tmpl w:val="ABF6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0310F1"/>
    <w:multiLevelType w:val="hybridMultilevel"/>
    <w:tmpl w:val="34560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"/>
  </w:num>
  <w:num w:numId="13">
    <w:abstractNumId w:val="0"/>
  </w:num>
  <w:num w:numId="14">
    <w:abstractNumId w:val="13"/>
  </w:num>
  <w:num w:numId="15">
    <w:abstractNumId w:val="10"/>
  </w:num>
  <w:num w:numId="16">
    <w:abstractNumId w:val="26"/>
  </w:num>
  <w:num w:numId="17">
    <w:abstractNumId w:val="27"/>
  </w:num>
  <w:num w:numId="18">
    <w:abstractNumId w:val="7"/>
  </w:num>
  <w:num w:numId="19">
    <w:abstractNumId w:val="19"/>
  </w:num>
  <w:num w:numId="20">
    <w:abstractNumId w:val="11"/>
  </w:num>
  <w:num w:numId="21">
    <w:abstractNumId w:val="24"/>
  </w:num>
  <w:num w:numId="22">
    <w:abstractNumId w:val="32"/>
  </w:num>
  <w:num w:numId="23">
    <w:abstractNumId w:val="14"/>
  </w:num>
  <w:num w:numId="24">
    <w:abstractNumId w:val="17"/>
  </w:num>
  <w:num w:numId="25">
    <w:abstractNumId w:val="36"/>
  </w:num>
  <w:num w:numId="26">
    <w:abstractNumId w:val="5"/>
  </w:num>
  <w:num w:numId="27">
    <w:abstractNumId w:val="16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2"/>
  </w:num>
  <w:num w:numId="33">
    <w:abstractNumId w:val="8"/>
  </w:num>
  <w:num w:numId="34">
    <w:abstractNumId w:val="9"/>
  </w:num>
  <w:num w:numId="35">
    <w:abstractNumId w:val="3"/>
  </w:num>
  <w:num w:numId="36">
    <w:abstractNumId w:val="28"/>
  </w:num>
  <w:num w:numId="37">
    <w:abstractNumId w:val="12"/>
  </w:num>
  <w:num w:numId="38">
    <w:abstractNumId w:val="22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467F3"/>
    <w:rsid w:val="00052383"/>
    <w:rsid w:val="000616E3"/>
    <w:rsid w:val="00092B5C"/>
    <w:rsid w:val="00093F8B"/>
    <w:rsid w:val="000C2954"/>
    <w:rsid w:val="000D705A"/>
    <w:rsid w:val="0013114B"/>
    <w:rsid w:val="00136D97"/>
    <w:rsid w:val="00152DFC"/>
    <w:rsid w:val="001718B4"/>
    <w:rsid w:val="002238B6"/>
    <w:rsid w:val="00263DEE"/>
    <w:rsid w:val="002A64CB"/>
    <w:rsid w:val="003043A3"/>
    <w:rsid w:val="003070CA"/>
    <w:rsid w:val="003177C1"/>
    <w:rsid w:val="00336326"/>
    <w:rsid w:val="00345F42"/>
    <w:rsid w:val="0035352B"/>
    <w:rsid w:val="00360E00"/>
    <w:rsid w:val="0039041C"/>
    <w:rsid w:val="00394776"/>
    <w:rsid w:val="003B2E1A"/>
    <w:rsid w:val="003D5A7D"/>
    <w:rsid w:val="003D79F8"/>
    <w:rsid w:val="004148D0"/>
    <w:rsid w:val="00417674"/>
    <w:rsid w:val="00447DD1"/>
    <w:rsid w:val="00463D49"/>
    <w:rsid w:val="004967AC"/>
    <w:rsid w:val="004E2118"/>
    <w:rsid w:val="00500EF0"/>
    <w:rsid w:val="00547EF5"/>
    <w:rsid w:val="00575DF2"/>
    <w:rsid w:val="0057693D"/>
    <w:rsid w:val="005B3820"/>
    <w:rsid w:val="005C005B"/>
    <w:rsid w:val="005D1380"/>
    <w:rsid w:val="005F3B22"/>
    <w:rsid w:val="006408E2"/>
    <w:rsid w:val="0064531F"/>
    <w:rsid w:val="006520A3"/>
    <w:rsid w:val="00684AE5"/>
    <w:rsid w:val="006E2989"/>
    <w:rsid w:val="00705BF8"/>
    <w:rsid w:val="0071052D"/>
    <w:rsid w:val="00733AB0"/>
    <w:rsid w:val="007510B9"/>
    <w:rsid w:val="00770EF8"/>
    <w:rsid w:val="007C222E"/>
    <w:rsid w:val="00827909"/>
    <w:rsid w:val="00830C4A"/>
    <w:rsid w:val="0086180D"/>
    <w:rsid w:val="008B2310"/>
    <w:rsid w:val="008E399C"/>
    <w:rsid w:val="0091569C"/>
    <w:rsid w:val="009428A5"/>
    <w:rsid w:val="00962F6C"/>
    <w:rsid w:val="0098096C"/>
    <w:rsid w:val="009B41D0"/>
    <w:rsid w:val="009C366F"/>
    <w:rsid w:val="009D4BFD"/>
    <w:rsid w:val="00A2440B"/>
    <w:rsid w:val="00A4308C"/>
    <w:rsid w:val="00A45151"/>
    <w:rsid w:val="00A61EE9"/>
    <w:rsid w:val="00A63975"/>
    <w:rsid w:val="00A76B8B"/>
    <w:rsid w:val="00A76FE4"/>
    <w:rsid w:val="00AB35BB"/>
    <w:rsid w:val="00AB7164"/>
    <w:rsid w:val="00AD044A"/>
    <w:rsid w:val="00B16288"/>
    <w:rsid w:val="00B20D6B"/>
    <w:rsid w:val="00B22325"/>
    <w:rsid w:val="00B24472"/>
    <w:rsid w:val="00B2450E"/>
    <w:rsid w:val="00B301E6"/>
    <w:rsid w:val="00B57AA9"/>
    <w:rsid w:val="00B66784"/>
    <w:rsid w:val="00B70CD6"/>
    <w:rsid w:val="00B771B4"/>
    <w:rsid w:val="00B812EA"/>
    <w:rsid w:val="00BA418C"/>
    <w:rsid w:val="00BA5A39"/>
    <w:rsid w:val="00BB3C5A"/>
    <w:rsid w:val="00BC6E1B"/>
    <w:rsid w:val="00BE3603"/>
    <w:rsid w:val="00C63701"/>
    <w:rsid w:val="00C9555F"/>
    <w:rsid w:val="00CE7A8C"/>
    <w:rsid w:val="00D02464"/>
    <w:rsid w:val="00D10852"/>
    <w:rsid w:val="00D74989"/>
    <w:rsid w:val="00DA5E5D"/>
    <w:rsid w:val="00DA5E69"/>
    <w:rsid w:val="00DB7E52"/>
    <w:rsid w:val="00DF0759"/>
    <w:rsid w:val="00E0003E"/>
    <w:rsid w:val="00E003C6"/>
    <w:rsid w:val="00E02C03"/>
    <w:rsid w:val="00E454A2"/>
    <w:rsid w:val="00E45E32"/>
    <w:rsid w:val="00E8224A"/>
    <w:rsid w:val="00E90C58"/>
    <w:rsid w:val="00E92F66"/>
    <w:rsid w:val="00EA59E4"/>
    <w:rsid w:val="00EB33E9"/>
    <w:rsid w:val="00EC3683"/>
    <w:rsid w:val="00ED4D23"/>
    <w:rsid w:val="00EE581A"/>
    <w:rsid w:val="00F10593"/>
    <w:rsid w:val="00F17C0A"/>
    <w:rsid w:val="00F32CFC"/>
    <w:rsid w:val="00F3331C"/>
    <w:rsid w:val="00F909C3"/>
    <w:rsid w:val="00F95821"/>
    <w:rsid w:val="00FA058D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B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7D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stopa_referencyjna_i_archiwu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competition/state_aid/legislation/reference_rates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9B47-33F6-447B-8C5D-C2E38288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18</cp:revision>
  <cp:lastPrinted>2021-02-19T20:22:00Z</cp:lastPrinted>
  <dcterms:created xsi:type="dcterms:W3CDTF">2021-02-18T16:00:00Z</dcterms:created>
  <dcterms:modified xsi:type="dcterms:W3CDTF">2021-02-19T20:22:00Z</dcterms:modified>
</cp:coreProperties>
</file>