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B32A" w14:textId="7E3F52EA" w:rsidR="00EA59E4" w:rsidRPr="00291B87" w:rsidRDefault="00EA59E4" w:rsidP="00291B87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Załącznik do Umowy pożyczki</w:t>
      </w:r>
    </w:p>
    <w:p w14:paraId="0976BB7C" w14:textId="1173CDD7" w:rsidR="00EA59E4" w:rsidRPr="005C6D78" w:rsidRDefault="00EA59E4" w:rsidP="00291B87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 xml:space="preserve">Karta Produktu </w:t>
      </w:r>
      <w:r w:rsidR="00E02C03" w:rsidRPr="005C6D78">
        <w:rPr>
          <w:rFonts w:ascii="Verdana" w:hAnsi="Verdana"/>
          <w:b/>
          <w:sz w:val="16"/>
          <w:szCs w:val="16"/>
        </w:rPr>
        <w:t xml:space="preserve">Mała Pożyczka Inwestycyjna </w:t>
      </w:r>
    </w:p>
    <w:p w14:paraId="10EFB510" w14:textId="77777777" w:rsidR="005C6D78" w:rsidRPr="005C6D78" w:rsidRDefault="005C6D78" w:rsidP="00291B87">
      <w:pPr>
        <w:pStyle w:val="Akapitzlist"/>
        <w:numPr>
          <w:ilvl w:val="0"/>
          <w:numId w:val="30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Podstawowe parametry Małej Pożyczki Inwestycyjnej (dalej Pożyczki)</w:t>
      </w:r>
    </w:p>
    <w:p w14:paraId="5701E60D" w14:textId="77777777" w:rsidR="005C6D78" w:rsidRPr="005C6D78" w:rsidRDefault="005C6D78" w:rsidP="00644BA7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Wartość Pożyczki udzielonej jednemu Ostatecznemu Odbiorcy, co do zasady nie powinna przekroczyć kwoty 500 000,00 zł.</w:t>
      </w:r>
    </w:p>
    <w:p w14:paraId="7EE3663F" w14:textId="77777777" w:rsidR="005C6D78" w:rsidRPr="005C6D78" w:rsidRDefault="005C6D78" w:rsidP="00644BA7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Wkład własny Ostatecznego Odbiorcy nie jest wymagany.</w:t>
      </w:r>
    </w:p>
    <w:p w14:paraId="74D683CE" w14:textId="77777777" w:rsidR="005C6D78" w:rsidRPr="005C6D78" w:rsidRDefault="005C6D78" w:rsidP="00644BA7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Maksymalny termin na wypłatę całkowitej kwoty Pożyczki Ostatecznemu Odbiorcy co do zasady wynosi 180 dni kalendarzowych, a jeśli na realizację danej Inwestycji negatywny wpływ ma epidemia COVID-19 – 270 dni od dnia zawarcia Umowy Inwestycyjnej. </w:t>
      </w:r>
    </w:p>
    <w:p w14:paraId="648B7F07" w14:textId="77777777" w:rsidR="005C6D78" w:rsidRPr="005C6D78" w:rsidRDefault="005C6D78" w:rsidP="00644BA7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Maksymalny okres spłaty Pożyczki nie może być dłuższy niż:</w:t>
      </w:r>
    </w:p>
    <w:p w14:paraId="59128534" w14:textId="79F38E56" w:rsidR="00394D1B" w:rsidRPr="00394D1B" w:rsidRDefault="005C6D78" w:rsidP="00644BA7">
      <w:pPr>
        <w:pStyle w:val="Akapitzlist"/>
        <w:numPr>
          <w:ilvl w:val="1"/>
          <w:numId w:val="28"/>
        </w:numPr>
        <w:spacing w:after="0" w:line="240" w:lineRule="auto"/>
        <w:ind w:left="723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84 miesiące, od momentu jej uruchomienia, tj. wypłaty jakiejkolwiek kwoty Pożyczki.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 </w:t>
      </w:r>
    </w:p>
    <w:p w14:paraId="7AC54496" w14:textId="67A6B7F8" w:rsidR="00394D1B" w:rsidRDefault="005C6D78" w:rsidP="00644BA7">
      <w:pPr>
        <w:pStyle w:val="Akapitzlist"/>
        <w:spacing w:after="0" w:line="240" w:lineRule="auto"/>
        <w:ind w:left="723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W przypadku Ostatecznych Odbiorców, którzy są dotknięci negatywnymi skutkami epidemii COVID-19,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na ich uzasadniony wniosek, okres spłaty Pożyczek może zostać przedłużony o nie więcej niż </w:t>
      </w:r>
      <w:r w:rsidR="00AD1021">
        <w:rPr>
          <w:rFonts w:ascii="Verdana" w:hAnsi="Verdana"/>
          <w:sz w:val="16"/>
          <w:szCs w:val="16"/>
        </w:rPr>
        <w:t>18</w:t>
      </w:r>
      <w:r w:rsidRPr="005C6D78">
        <w:rPr>
          <w:rFonts w:ascii="Verdana" w:hAnsi="Verdana"/>
          <w:sz w:val="16"/>
          <w:szCs w:val="16"/>
        </w:rPr>
        <w:t xml:space="preserve"> miesięcy. Wydłużenie okresu spłaty w związku z karencją dodatkową lub wakacjami kredytowymi, o których mowa odpowiednio w pkt. I.6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i pkt. I.9, wlicza się w limit </w:t>
      </w:r>
      <w:r w:rsidR="00AD1021">
        <w:rPr>
          <w:rFonts w:ascii="Verdana" w:hAnsi="Verdana"/>
          <w:sz w:val="16"/>
          <w:szCs w:val="16"/>
        </w:rPr>
        <w:t>18</w:t>
      </w:r>
      <w:r w:rsidRPr="005C6D78">
        <w:rPr>
          <w:rFonts w:ascii="Verdana" w:hAnsi="Verdana"/>
          <w:sz w:val="16"/>
          <w:szCs w:val="16"/>
        </w:rPr>
        <w:t xml:space="preserve"> miesięcy, o którym mowa w zdaniu poprzedzającym,</w:t>
      </w:r>
    </w:p>
    <w:p w14:paraId="31F41F7A" w14:textId="2EFE3A6A" w:rsidR="005C6D78" w:rsidRPr="00394D1B" w:rsidRDefault="005C6D78" w:rsidP="00644BA7">
      <w:pPr>
        <w:pStyle w:val="Akapitzlist"/>
        <w:numPr>
          <w:ilvl w:val="1"/>
          <w:numId w:val="28"/>
        </w:numPr>
        <w:spacing w:after="0" w:line="240" w:lineRule="auto"/>
        <w:ind w:left="723"/>
        <w:contextualSpacing w:val="0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 xml:space="preserve">72 miesiące od momentu jej uruchomienia – w przypadku Pożyczek udzielanych na podstawie Rozporządzenia Ministra Funduszy i Polityki Regionalnej z dnia 14 kwietnia 2020 r. </w:t>
      </w:r>
      <w:r w:rsidR="00AD1021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AD1021">
        <w:rPr>
          <w:rFonts w:ascii="Verdana" w:hAnsi="Verdana"/>
          <w:bCs/>
          <w:sz w:val="16"/>
          <w:szCs w:val="16"/>
        </w:rPr>
        <w:t>późn</w:t>
      </w:r>
      <w:proofErr w:type="spellEnd"/>
      <w:r w:rsidR="00AD1021">
        <w:rPr>
          <w:rFonts w:ascii="Verdana" w:hAnsi="Verdana"/>
          <w:bCs/>
          <w:sz w:val="16"/>
          <w:szCs w:val="16"/>
        </w:rPr>
        <w:t>. zmianami</w:t>
      </w:r>
      <w:r w:rsidR="00AD1021" w:rsidRPr="00394D1B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 xml:space="preserve">w sprawie udzielania pomocy </w:t>
      </w:r>
      <w:r w:rsidR="00AD1021">
        <w:rPr>
          <w:rFonts w:ascii="Verdana" w:hAnsi="Verdana"/>
          <w:sz w:val="16"/>
          <w:szCs w:val="16"/>
        </w:rPr>
        <w:t xml:space="preserve">                                </w:t>
      </w:r>
      <w:r w:rsidRPr="00394D1B">
        <w:rPr>
          <w:rFonts w:ascii="Verdana" w:hAnsi="Verdana"/>
          <w:sz w:val="16"/>
          <w:szCs w:val="16"/>
        </w:rPr>
        <w:t>z instrumentów finansowych</w:t>
      </w:r>
      <w:r w:rsidR="00AD1021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>w ramach programów operacyjnych na lata 2014-2020 w celu wspierania polskiej gospodarki w związku z wystąpieniem pandemii COVID-19.</w:t>
      </w:r>
    </w:p>
    <w:p w14:paraId="7D685C04" w14:textId="378C7B8A" w:rsidR="005C6D78" w:rsidRPr="005C6D78" w:rsidRDefault="005C6D78" w:rsidP="00644BA7">
      <w:pPr>
        <w:pStyle w:val="Akapitzlist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Maksymalna karencja podstawowa w spłacie kapitału Pożyczki wynosi 6 miesięcy od dnia jej uruchomienia,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przy czym karencja podstawowa nie wydłuża okresu spłaty Pożyczki. </w:t>
      </w:r>
    </w:p>
    <w:p w14:paraId="279EF759" w14:textId="7E832BDB" w:rsidR="005C6D78" w:rsidRPr="005C6D78" w:rsidRDefault="005C6D78" w:rsidP="00644BA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16"/>
          <w:szCs w:val="16"/>
        </w:rPr>
      </w:pPr>
      <w:r w:rsidRPr="005C6D78">
        <w:rPr>
          <w:rFonts w:ascii="Verdana" w:eastAsia="Calibri" w:hAnsi="Verdana" w:cs="Times New Roman"/>
          <w:sz w:val="16"/>
          <w:szCs w:val="16"/>
        </w:rPr>
        <w:t xml:space="preserve">W terminie do </w:t>
      </w:r>
      <w:r w:rsidR="00644BA7">
        <w:rPr>
          <w:rFonts w:ascii="Verdana" w:eastAsia="Calibri" w:hAnsi="Verdana" w:cs="Times New Roman"/>
          <w:sz w:val="16"/>
          <w:szCs w:val="16"/>
        </w:rPr>
        <w:t>30 czerwca 2021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 </w:t>
      </w:r>
      <w:r w:rsidR="006113C4">
        <w:rPr>
          <w:rFonts w:ascii="Verdana" w:eastAsia="Calibri" w:hAnsi="Verdana" w:cs="Times New Roman"/>
          <w:sz w:val="16"/>
          <w:szCs w:val="16"/>
        </w:rPr>
        <w:t>roku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 </w:t>
      </w:r>
      <w:r w:rsidR="00C36E92">
        <w:rPr>
          <w:rFonts w:ascii="Verdana" w:hAnsi="Verdana"/>
          <w:sz w:val="16"/>
          <w:szCs w:val="16"/>
        </w:rPr>
        <w:t xml:space="preserve">FUNDSZ </w:t>
      </w:r>
      <w:r w:rsidRPr="005C6D78">
        <w:rPr>
          <w:rFonts w:ascii="Verdana" w:eastAsia="Calibri" w:hAnsi="Verdana" w:cs="Times New Roman"/>
          <w:sz w:val="16"/>
          <w:szCs w:val="16"/>
        </w:rPr>
        <w:t>może udzielić Ostatecznemu Odbiorcy  karencji dodatkowej w spłacie kapitału Pożyczki, przy czym:</w:t>
      </w:r>
    </w:p>
    <w:p w14:paraId="692A5114" w14:textId="20E33AF3" w:rsidR="00394D1B" w:rsidRDefault="00AD1021" w:rsidP="00644BA7">
      <w:pPr>
        <w:numPr>
          <w:ilvl w:val="1"/>
          <w:numId w:val="35"/>
        </w:numPr>
        <w:spacing w:after="0" w:line="240" w:lineRule="auto"/>
        <w:ind w:left="723" w:hanging="297"/>
        <w:jc w:val="both"/>
        <w:rPr>
          <w:rFonts w:ascii="Verdana" w:eastAsia="Calibri" w:hAnsi="Verdana" w:cs="Times New Roman"/>
          <w:sz w:val="16"/>
          <w:szCs w:val="16"/>
        </w:rPr>
      </w:pPr>
      <w:r w:rsidRPr="002238B6">
        <w:rPr>
          <w:rFonts w:ascii="Verdana" w:hAnsi="Verdana"/>
          <w:bCs/>
          <w:sz w:val="16"/>
          <w:szCs w:val="16"/>
        </w:rPr>
        <w:t xml:space="preserve">maksymalny okres karencji dodatkowej wynosi </w:t>
      </w:r>
      <w:r w:rsidRPr="002238B6">
        <w:rPr>
          <w:rFonts w:ascii="Verdana" w:hAnsi="Verdana"/>
          <w:sz w:val="16"/>
          <w:szCs w:val="16"/>
        </w:rPr>
        <w:t xml:space="preserve">łącznie 12 miesięcy z zastrzeżeniem, że każdorazowa decyzja </w:t>
      </w:r>
      <w:r>
        <w:rPr>
          <w:rFonts w:ascii="Verdana" w:hAnsi="Verdana"/>
          <w:sz w:val="16"/>
          <w:szCs w:val="16"/>
        </w:rPr>
        <w:t xml:space="preserve">                    </w:t>
      </w:r>
      <w:r w:rsidRPr="002238B6">
        <w:rPr>
          <w:rFonts w:ascii="Verdana" w:hAnsi="Verdana"/>
          <w:sz w:val="16"/>
          <w:szCs w:val="16"/>
        </w:rPr>
        <w:t>o udzieleniu przez FUNDUSZ karencji dodatkowej nie może dotyczyć okresu dłuższego niż 6 miesięcy</w:t>
      </w:r>
      <w:r w:rsidR="005C6D78" w:rsidRPr="005C6D78">
        <w:rPr>
          <w:rFonts w:ascii="Verdana" w:eastAsia="Calibri" w:hAnsi="Verdana" w:cs="Times New Roman"/>
          <w:sz w:val="16"/>
          <w:szCs w:val="16"/>
        </w:rPr>
        <w:t>,</w:t>
      </w:r>
    </w:p>
    <w:p w14:paraId="12AC04AB" w14:textId="1027377E" w:rsidR="005C6D78" w:rsidRPr="00394D1B" w:rsidRDefault="005C6D78" w:rsidP="00644BA7">
      <w:pPr>
        <w:numPr>
          <w:ilvl w:val="1"/>
          <w:numId w:val="35"/>
        </w:numPr>
        <w:spacing w:after="0" w:line="240" w:lineRule="auto"/>
        <w:ind w:left="723" w:hanging="297"/>
        <w:jc w:val="both"/>
        <w:rPr>
          <w:rFonts w:ascii="Verdana" w:eastAsia="Calibri" w:hAnsi="Verdana" w:cs="Times New Roman"/>
          <w:sz w:val="16"/>
          <w:szCs w:val="16"/>
        </w:rPr>
      </w:pPr>
      <w:r w:rsidRPr="00394D1B">
        <w:rPr>
          <w:rFonts w:ascii="Verdana" w:eastAsia="Calibri" w:hAnsi="Verdana" w:cs="Times New Roman"/>
          <w:sz w:val="16"/>
          <w:szCs w:val="16"/>
        </w:rPr>
        <w:t xml:space="preserve">okres karencji dodatkowej rozpocznie się najpóźniej </w:t>
      </w:r>
      <w:r w:rsidR="00644BA7">
        <w:rPr>
          <w:rFonts w:ascii="Verdana" w:eastAsia="Calibri" w:hAnsi="Verdana" w:cs="Times New Roman"/>
          <w:sz w:val="16"/>
          <w:szCs w:val="16"/>
        </w:rPr>
        <w:t>30 czerwca 2021</w:t>
      </w:r>
      <w:r w:rsidRPr="00394D1B">
        <w:rPr>
          <w:rFonts w:ascii="Verdana" w:eastAsia="Calibri" w:hAnsi="Verdana" w:cs="Times New Roman"/>
          <w:sz w:val="16"/>
          <w:szCs w:val="16"/>
        </w:rPr>
        <w:t xml:space="preserve"> roku.</w:t>
      </w:r>
    </w:p>
    <w:p w14:paraId="6C3BC127" w14:textId="236C32DA" w:rsidR="005C6D78" w:rsidRPr="005C6D78" w:rsidRDefault="005C6D78" w:rsidP="00644BA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16"/>
          <w:szCs w:val="16"/>
        </w:rPr>
      </w:pPr>
      <w:r w:rsidRPr="005C6D78">
        <w:rPr>
          <w:rFonts w:ascii="Verdana" w:eastAsia="Calibri" w:hAnsi="Verdana" w:cs="Times New Roman"/>
          <w:sz w:val="16"/>
          <w:szCs w:val="16"/>
        </w:rPr>
        <w:t xml:space="preserve">Udzielenie karencji dodatkowej następuje na podstawie złożonego do </w:t>
      </w:r>
      <w:r w:rsidR="00C36E92">
        <w:rPr>
          <w:rFonts w:ascii="Verdana" w:hAnsi="Verdana"/>
          <w:sz w:val="16"/>
          <w:szCs w:val="16"/>
        </w:rPr>
        <w:t xml:space="preserve">FUNDSZU 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wniosku Ostatecznego Odbiorcy, uzasadnionego pogorszeniem się jego sytuacji finansowej w związku z konsekwencjami epidemii COVID-19 w kraju </w:t>
      </w:r>
      <w:r w:rsidR="00412659">
        <w:rPr>
          <w:rFonts w:ascii="Verdana" w:eastAsia="Calibri" w:hAnsi="Verdana" w:cs="Times New Roman"/>
          <w:sz w:val="16"/>
          <w:szCs w:val="16"/>
        </w:rPr>
        <w:br/>
      </w:r>
      <w:r w:rsidRPr="005C6D78">
        <w:rPr>
          <w:rFonts w:ascii="Verdana" w:eastAsia="Calibri" w:hAnsi="Verdana" w:cs="Times New Roman"/>
          <w:sz w:val="16"/>
          <w:szCs w:val="16"/>
        </w:rPr>
        <w:t>lub na świecie.</w:t>
      </w:r>
    </w:p>
    <w:p w14:paraId="4B6DD560" w14:textId="77777777" w:rsidR="005C6D78" w:rsidRPr="005C6D78" w:rsidRDefault="005C6D78" w:rsidP="00644BA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16"/>
          <w:szCs w:val="16"/>
        </w:rPr>
      </w:pPr>
      <w:r w:rsidRPr="005C6D78">
        <w:rPr>
          <w:rFonts w:ascii="Verdana" w:eastAsia="Calibri" w:hAnsi="Verdana" w:cs="Times New Roman"/>
          <w:sz w:val="16"/>
          <w:szCs w:val="16"/>
        </w:rPr>
        <w:t>Z zastrzeżeniem pkt. I.4, na wniosek Ostatecznego Odbiorcy okres karencji dodatkowej może wydłużyć ustalony okres spłaty Pożyczki.</w:t>
      </w:r>
    </w:p>
    <w:p w14:paraId="4F9FA668" w14:textId="06A530A1" w:rsidR="005C6D78" w:rsidRPr="005C6D78" w:rsidRDefault="005C6D78" w:rsidP="00644BA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16"/>
          <w:szCs w:val="16"/>
        </w:rPr>
      </w:pPr>
      <w:r w:rsidRPr="005C6D78">
        <w:rPr>
          <w:rFonts w:ascii="Verdana" w:eastAsia="Calibri" w:hAnsi="Verdana" w:cs="Times New Roman"/>
          <w:sz w:val="16"/>
          <w:szCs w:val="16"/>
        </w:rPr>
        <w:t xml:space="preserve">Do </w:t>
      </w:r>
      <w:r w:rsidR="00644BA7">
        <w:rPr>
          <w:rFonts w:ascii="Verdana" w:eastAsia="Calibri" w:hAnsi="Verdana" w:cs="Times New Roman"/>
          <w:sz w:val="16"/>
          <w:szCs w:val="16"/>
        </w:rPr>
        <w:t>30 czerwca 2021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 r</w:t>
      </w:r>
      <w:r w:rsidR="006113C4">
        <w:rPr>
          <w:rFonts w:ascii="Verdana" w:eastAsia="Calibri" w:hAnsi="Verdana" w:cs="Times New Roman"/>
          <w:sz w:val="16"/>
          <w:szCs w:val="16"/>
        </w:rPr>
        <w:t>oku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 </w:t>
      </w:r>
      <w:r w:rsidR="00C36E92">
        <w:rPr>
          <w:rFonts w:ascii="Verdana" w:hAnsi="Verdana"/>
          <w:sz w:val="16"/>
          <w:szCs w:val="16"/>
        </w:rPr>
        <w:t xml:space="preserve">FUNDSZ </w:t>
      </w:r>
      <w:r w:rsidRPr="005C6D78">
        <w:rPr>
          <w:rFonts w:ascii="Verdana" w:eastAsia="Calibri" w:hAnsi="Verdana" w:cs="Times New Roman"/>
          <w:sz w:val="16"/>
          <w:szCs w:val="16"/>
        </w:rPr>
        <w:t>może udzielić Ostatecznemu Odbiorcy wakacji kredytowych, polegających na zawieszeniu obowiązku spłaty części odsetkowej, części kapitałowej lub całej raty kapitałowo-odsetkowej Pożyczki, przy czym:</w:t>
      </w:r>
    </w:p>
    <w:p w14:paraId="380C583F" w14:textId="20DE192C" w:rsidR="00394D1B" w:rsidRDefault="00AD1021" w:rsidP="00644BA7">
      <w:pPr>
        <w:numPr>
          <w:ilvl w:val="1"/>
          <w:numId w:val="36"/>
        </w:numPr>
        <w:spacing w:after="0" w:line="240" w:lineRule="auto"/>
        <w:ind w:left="723" w:hanging="297"/>
        <w:jc w:val="both"/>
        <w:rPr>
          <w:rFonts w:ascii="Verdana" w:eastAsia="Calibri" w:hAnsi="Verdana" w:cs="Times New Roman"/>
          <w:sz w:val="16"/>
          <w:szCs w:val="16"/>
        </w:rPr>
      </w:pPr>
      <w:r w:rsidRPr="00E90C58">
        <w:rPr>
          <w:rFonts w:ascii="Verdana" w:hAnsi="Verdana"/>
          <w:bCs/>
          <w:sz w:val="16"/>
          <w:szCs w:val="16"/>
        </w:rPr>
        <w:t xml:space="preserve">maksymalny okres wakacji </w:t>
      </w:r>
      <w:r w:rsidRPr="00BC6E1B">
        <w:rPr>
          <w:rFonts w:ascii="Verdana" w:hAnsi="Verdana"/>
          <w:bCs/>
          <w:sz w:val="16"/>
          <w:szCs w:val="16"/>
        </w:rPr>
        <w:t xml:space="preserve">kredytowych </w:t>
      </w:r>
      <w:r w:rsidRPr="00BC6E1B">
        <w:rPr>
          <w:rFonts w:ascii="Verdana" w:hAnsi="Verdana"/>
          <w:sz w:val="16"/>
          <w:szCs w:val="16"/>
        </w:rPr>
        <w:t>wynosi łącznie 12 miesięcy</w:t>
      </w:r>
      <w:r w:rsidR="00903D3A">
        <w:rPr>
          <w:rFonts w:ascii="Verdana" w:hAnsi="Verdana"/>
          <w:sz w:val="16"/>
          <w:szCs w:val="16"/>
        </w:rPr>
        <w:t>,</w:t>
      </w:r>
      <w:r w:rsidRPr="00BC6E1B">
        <w:rPr>
          <w:rFonts w:ascii="Verdana" w:hAnsi="Verdana"/>
          <w:sz w:val="16"/>
          <w:szCs w:val="16"/>
        </w:rPr>
        <w:t xml:space="preserve"> z zastrzeżeniem, że każdorazowa decyzja                            o udzieleniu przez FUNDUSZ wakacji kredytowych nie może dotyczyć okresu dłuższego niż 6 miesięcy</w:t>
      </w:r>
      <w:r w:rsidR="005C6D78" w:rsidRPr="005C6D78">
        <w:rPr>
          <w:rFonts w:ascii="Verdana" w:eastAsia="Calibri" w:hAnsi="Verdana" w:cs="Times New Roman"/>
          <w:sz w:val="16"/>
          <w:szCs w:val="16"/>
        </w:rPr>
        <w:t>,</w:t>
      </w:r>
    </w:p>
    <w:p w14:paraId="680877DF" w14:textId="3967A6E2" w:rsidR="005C6D78" w:rsidRPr="00394D1B" w:rsidRDefault="005C6D78" w:rsidP="00644BA7">
      <w:pPr>
        <w:numPr>
          <w:ilvl w:val="1"/>
          <w:numId w:val="36"/>
        </w:numPr>
        <w:spacing w:after="0" w:line="240" w:lineRule="auto"/>
        <w:ind w:left="723" w:hanging="297"/>
        <w:jc w:val="both"/>
        <w:rPr>
          <w:rFonts w:ascii="Verdana" w:eastAsia="Calibri" w:hAnsi="Verdana" w:cs="Times New Roman"/>
          <w:sz w:val="16"/>
          <w:szCs w:val="16"/>
        </w:rPr>
      </w:pPr>
      <w:r w:rsidRPr="00394D1B">
        <w:rPr>
          <w:rFonts w:ascii="Verdana" w:eastAsia="Calibri" w:hAnsi="Verdana" w:cs="Times New Roman"/>
          <w:sz w:val="16"/>
          <w:szCs w:val="16"/>
        </w:rPr>
        <w:t xml:space="preserve">okres wakacji kredytowych rozpocznie się najpóźniej </w:t>
      </w:r>
      <w:r w:rsidR="00644BA7">
        <w:rPr>
          <w:rFonts w:ascii="Verdana" w:eastAsia="Calibri" w:hAnsi="Verdana" w:cs="Times New Roman"/>
          <w:sz w:val="16"/>
          <w:szCs w:val="16"/>
        </w:rPr>
        <w:t>30 czerwca 2021</w:t>
      </w:r>
      <w:r w:rsidRPr="00394D1B">
        <w:rPr>
          <w:rFonts w:ascii="Verdana" w:eastAsia="Calibri" w:hAnsi="Verdana" w:cs="Times New Roman"/>
          <w:sz w:val="16"/>
          <w:szCs w:val="16"/>
        </w:rPr>
        <w:t xml:space="preserve"> roku.</w:t>
      </w:r>
    </w:p>
    <w:p w14:paraId="27EB9FB2" w14:textId="08E7A73F" w:rsidR="005C6D78" w:rsidRPr="005C6D78" w:rsidRDefault="005C6D78" w:rsidP="00644BA7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Verdana" w:eastAsia="Calibri" w:hAnsi="Verdana" w:cs="Times New Roman"/>
          <w:sz w:val="16"/>
          <w:szCs w:val="16"/>
        </w:rPr>
      </w:pPr>
      <w:r w:rsidRPr="005C6D78">
        <w:rPr>
          <w:rFonts w:ascii="Verdana" w:eastAsia="Calibri" w:hAnsi="Verdana" w:cs="Times New Roman"/>
          <w:sz w:val="16"/>
          <w:szCs w:val="16"/>
        </w:rPr>
        <w:t xml:space="preserve">Udzielenie wakacji kredytowych następuje na podstawie złożonego </w:t>
      </w:r>
      <w:r w:rsidR="00C36E92">
        <w:rPr>
          <w:rFonts w:ascii="Verdana" w:eastAsia="Calibri" w:hAnsi="Verdana" w:cs="Times New Roman"/>
          <w:sz w:val="16"/>
          <w:szCs w:val="16"/>
        </w:rPr>
        <w:t xml:space="preserve">do </w:t>
      </w:r>
      <w:r w:rsidR="00C36E92">
        <w:rPr>
          <w:rFonts w:ascii="Verdana" w:hAnsi="Verdana"/>
          <w:sz w:val="16"/>
          <w:szCs w:val="16"/>
        </w:rPr>
        <w:t>FUNDSZU</w:t>
      </w:r>
      <w:r w:rsidRPr="005C6D78">
        <w:rPr>
          <w:rFonts w:ascii="Verdana" w:eastAsia="Calibri" w:hAnsi="Verdana" w:cs="Times New Roman"/>
          <w:sz w:val="16"/>
          <w:szCs w:val="16"/>
        </w:rPr>
        <w:t xml:space="preserve"> wniosku Ostatecznego Odbiorcy, uzasadnionego pogorszeniem się jego sytuacji finansowej w związku z konsekwencjami epidemii COVID-19 w kraju </w:t>
      </w:r>
      <w:r w:rsidR="00412659">
        <w:rPr>
          <w:rFonts w:ascii="Verdana" w:eastAsia="Calibri" w:hAnsi="Verdana" w:cs="Times New Roman"/>
          <w:sz w:val="16"/>
          <w:szCs w:val="16"/>
        </w:rPr>
        <w:br/>
      </w:r>
      <w:r w:rsidRPr="005C6D78">
        <w:rPr>
          <w:rFonts w:ascii="Verdana" w:eastAsia="Calibri" w:hAnsi="Verdana" w:cs="Times New Roman"/>
          <w:sz w:val="16"/>
          <w:szCs w:val="16"/>
        </w:rPr>
        <w:t>lub na świecie.</w:t>
      </w:r>
    </w:p>
    <w:p w14:paraId="43ABAC92" w14:textId="181F005F" w:rsidR="005C6D78" w:rsidRPr="00394D1B" w:rsidRDefault="005C6D78" w:rsidP="00291B87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Verdana" w:eastAsia="Calibri" w:hAnsi="Verdana" w:cs="Times New Roman"/>
          <w:sz w:val="16"/>
          <w:szCs w:val="16"/>
        </w:rPr>
      </w:pPr>
      <w:r w:rsidRPr="005C6D78">
        <w:rPr>
          <w:rFonts w:ascii="Verdana" w:eastAsia="Calibri" w:hAnsi="Verdana" w:cs="Times New Roman"/>
          <w:sz w:val="16"/>
          <w:szCs w:val="16"/>
        </w:rPr>
        <w:t>Z zastrzeżeniem pkt. I.4, na wniosek Ostatecznego Odbiorcy okres wakacji kredytowych może wydłużyć okres spłaty Pożyczki.</w:t>
      </w:r>
    </w:p>
    <w:p w14:paraId="2C083109" w14:textId="77777777" w:rsidR="005C6D78" w:rsidRPr="005C6D78" w:rsidRDefault="005C6D78" w:rsidP="00291B87">
      <w:pPr>
        <w:pStyle w:val="Akapitzlist"/>
        <w:numPr>
          <w:ilvl w:val="0"/>
          <w:numId w:val="30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 xml:space="preserve">Zasady dotyczące udzielania i udokumentowania Pożyczki </w:t>
      </w:r>
    </w:p>
    <w:p w14:paraId="514DF17F" w14:textId="5CDD19B0" w:rsidR="005C6D78" w:rsidRPr="005C6D78" w:rsidRDefault="005C6D78" w:rsidP="00644BA7">
      <w:pPr>
        <w:pStyle w:val="Akapitzlist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Udzielenie Pożyczki nie może być uzależnione od zawarcia przez Ostatecznego Odbiorcę dodatkowych umów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(w szczególności dotyczących zakupu dodatkowych usług, produktów finansowych lub ubezpieczeniowych) z </w:t>
      </w:r>
      <w:r w:rsidR="00C36E92">
        <w:rPr>
          <w:rFonts w:ascii="Verdana" w:hAnsi="Verdana"/>
          <w:sz w:val="16"/>
          <w:szCs w:val="16"/>
        </w:rPr>
        <w:t>FUNDSZEM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lub podmiotem partnerskim lub powiązanym w stosunku do </w:t>
      </w:r>
      <w:r w:rsidR="00C36E92">
        <w:rPr>
          <w:rFonts w:ascii="Verdana" w:hAnsi="Verdana"/>
          <w:sz w:val="16"/>
          <w:szCs w:val="16"/>
        </w:rPr>
        <w:t xml:space="preserve">FUNDSZU; </w:t>
      </w:r>
      <w:r w:rsidRPr="005C6D78">
        <w:rPr>
          <w:rFonts w:ascii="Verdana" w:hAnsi="Verdana"/>
          <w:sz w:val="16"/>
          <w:szCs w:val="16"/>
        </w:rPr>
        <w:t xml:space="preserve">powyższe nie dotyczy powszechnie występujących na rynku oraz standardowo stosowanych przez </w:t>
      </w:r>
      <w:r w:rsidR="00C36E92">
        <w:rPr>
          <w:rFonts w:ascii="Verdana" w:hAnsi="Verdana"/>
          <w:sz w:val="16"/>
          <w:szCs w:val="16"/>
        </w:rPr>
        <w:t xml:space="preserve">FUNDSZ </w:t>
      </w:r>
      <w:r w:rsidRPr="005C6D78">
        <w:rPr>
          <w:rFonts w:ascii="Verdana" w:hAnsi="Verdana"/>
          <w:sz w:val="16"/>
          <w:szCs w:val="16"/>
        </w:rPr>
        <w:t xml:space="preserve">zabezpieczeń ustanawianych przez Ostatecznego Odbiorcę na rzecz </w:t>
      </w:r>
      <w:r w:rsidR="00C36E92">
        <w:rPr>
          <w:rFonts w:ascii="Verdana" w:hAnsi="Verdana"/>
          <w:sz w:val="16"/>
          <w:szCs w:val="16"/>
        </w:rPr>
        <w:t xml:space="preserve">FUNDSZU </w:t>
      </w:r>
      <w:r w:rsidRPr="005C6D78">
        <w:rPr>
          <w:rFonts w:ascii="Verdana" w:hAnsi="Verdana"/>
          <w:sz w:val="16"/>
          <w:szCs w:val="16"/>
        </w:rPr>
        <w:t>w związku z zawieraną umową Pożyczki, z zastrzeżeniem, iż w przypadku zabezpieczenia takiego jak „cesja praw z polisy ubezpieczeniowej” Ostateczny Odbiorca ma możliwość wyboru oferty spośród ubezpieczycieli dostępnych na rynku.</w:t>
      </w:r>
    </w:p>
    <w:p w14:paraId="36367D10" w14:textId="785DEC3D" w:rsidR="005C6D78" w:rsidRPr="005C6D78" w:rsidRDefault="005C6D78" w:rsidP="00644BA7">
      <w:pPr>
        <w:pStyle w:val="Akapitzlist"/>
        <w:numPr>
          <w:ilvl w:val="0"/>
          <w:numId w:val="29"/>
        </w:numPr>
        <w:spacing w:after="0" w:line="240" w:lineRule="auto"/>
        <w:ind w:left="425" w:hanging="425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Wydatkowanie środków Pożyczki  musi zostać należycie udokumentowane w terminie do 180 dni od dnia wypłaty pełnej kwoty Pożyczki. W uzasadnionych przypadkach, na wniosek Ostatecznego Odbiorcy oraz ze względu na charakter inwestycji, termin ten może uleć wydłużeniu maksymalnie o kolejne 90 dni, a w przypadku Pożyczek przeznaczonych na cele wskazane w pkt. III.1, jeśli na realizację Inwestycji negatywny wpływ ma epidemia COVID-19 – 150 dni. </w:t>
      </w:r>
    </w:p>
    <w:p w14:paraId="6368A62D" w14:textId="233478BB" w:rsidR="005C6D78" w:rsidRPr="005C6D78" w:rsidRDefault="005C6D78" w:rsidP="00644BA7">
      <w:pPr>
        <w:pStyle w:val="Akapitzlist"/>
        <w:numPr>
          <w:ilvl w:val="0"/>
          <w:numId w:val="29"/>
        </w:numPr>
        <w:spacing w:after="0" w:line="240" w:lineRule="auto"/>
        <w:ind w:left="425" w:hanging="425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Dokumentem potwierdzającym wydatkowanie środków zgodnie z celem, na jaki zostały przyznane jest faktura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lub dokument równoważny</w:t>
      </w:r>
      <w:r w:rsidR="00903D3A">
        <w:rPr>
          <w:rFonts w:ascii="Verdana" w:hAnsi="Verdana"/>
          <w:sz w:val="16"/>
          <w:szCs w:val="16"/>
        </w:rPr>
        <w:t>,</w:t>
      </w:r>
      <w:r w:rsidRPr="005C6D78">
        <w:rPr>
          <w:rFonts w:ascii="Verdana" w:hAnsi="Verdana"/>
          <w:sz w:val="16"/>
          <w:szCs w:val="16"/>
        </w:rPr>
        <w:t xml:space="preserve"> w rozumieniu przepisów prawa krajowego</w:t>
      </w:r>
      <w:r w:rsidR="00905F5C">
        <w:rPr>
          <w:rFonts w:ascii="Verdana" w:hAnsi="Verdana"/>
          <w:sz w:val="16"/>
          <w:szCs w:val="16"/>
        </w:rPr>
        <w:t>. Dokument taki powinien być</w:t>
      </w:r>
      <w:r w:rsidR="00903D3A">
        <w:rPr>
          <w:rFonts w:ascii="Verdana" w:hAnsi="Verdana"/>
          <w:sz w:val="16"/>
          <w:szCs w:val="16"/>
        </w:rPr>
        <w:t xml:space="preserve"> </w:t>
      </w:r>
      <w:r w:rsidRPr="005C6D78">
        <w:rPr>
          <w:rFonts w:ascii="Verdana" w:hAnsi="Verdana"/>
          <w:sz w:val="16"/>
          <w:szCs w:val="16"/>
        </w:rPr>
        <w:t xml:space="preserve">wystawiony </w:t>
      </w:r>
      <w:r w:rsidR="00905F5C">
        <w:rPr>
          <w:rFonts w:ascii="Verdana" w:hAnsi="Verdana"/>
          <w:sz w:val="16"/>
          <w:szCs w:val="16"/>
        </w:rPr>
        <w:t xml:space="preserve">                        lub przygotowany </w:t>
      </w:r>
      <w:r w:rsidRPr="005C6D78">
        <w:rPr>
          <w:rFonts w:ascii="Verdana" w:hAnsi="Verdana"/>
          <w:sz w:val="16"/>
          <w:szCs w:val="16"/>
        </w:rPr>
        <w:t xml:space="preserve">nie wcześniej niż w dniu złożenia wniosku o udzielenie Pożyczki. </w:t>
      </w:r>
      <w:r w:rsidR="00C36E92">
        <w:rPr>
          <w:rFonts w:ascii="Verdana" w:hAnsi="Verdana"/>
          <w:sz w:val="16"/>
          <w:szCs w:val="16"/>
        </w:rPr>
        <w:t xml:space="preserve">FUNDSZ </w:t>
      </w:r>
      <w:r w:rsidRPr="005C6D78">
        <w:rPr>
          <w:rFonts w:ascii="Verdana" w:hAnsi="Verdana"/>
          <w:sz w:val="16"/>
          <w:szCs w:val="16"/>
        </w:rPr>
        <w:t xml:space="preserve">może przyjąć do rozliczenia dokument potwierdzający wydatkowanie Pożyczki wystawiony </w:t>
      </w:r>
      <w:r w:rsidR="00905F5C">
        <w:rPr>
          <w:rFonts w:ascii="Verdana" w:hAnsi="Verdana"/>
          <w:sz w:val="16"/>
          <w:szCs w:val="16"/>
        </w:rPr>
        <w:t xml:space="preserve">lub przygotowany </w:t>
      </w:r>
      <w:r w:rsidR="00903D3A">
        <w:rPr>
          <w:rFonts w:ascii="Verdana" w:hAnsi="Verdana"/>
          <w:sz w:val="16"/>
          <w:szCs w:val="16"/>
        </w:rPr>
        <w:t>z</w:t>
      </w:r>
      <w:r w:rsidRPr="005C6D78">
        <w:rPr>
          <w:rFonts w:ascii="Verdana" w:hAnsi="Verdana"/>
          <w:sz w:val="16"/>
          <w:szCs w:val="16"/>
        </w:rPr>
        <w:t xml:space="preserve"> datą wcześniejszą, pod warunkiem,</w:t>
      </w:r>
      <w:r w:rsidR="00903D3A">
        <w:rPr>
          <w:rFonts w:ascii="Verdana" w:hAnsi="Verdana"/>
          <w:sz w:val="16"/>
          <w:szCs w:val="16"/>
        </w:rPr>
        <w:t xml:space="preserve"> </w:t>
      </w:r>
      <w:r w:rsidR="00905F5C">
        <w:rPr>
          <w:rFonts w:ascii="Verdana" w:hAnsi="Verdana"/>
          <w:sz w:val="16"/>
          <w:szCs w:val="16"/>
        </w:rPr>
        <w:t xml:space="preserve">                 </w:t>
      </w:r>
      <w:r w:rsidRPr="005C6D78">
        <w:rPr>
          <w:rFonts w:ascii="Verdana" w:hAnsi="Verdana"/>
          <w:sz w:val="16"/>
          <w:szCs w:val="16"/>
        </w:rPr>
        <w:t xml:space="preserve">że pozyska on wiarygodne dowody, że przedstawiony dokument nie został opłacony przed dniem złożenia wniosku </w:t>
      </w:r>
      <w:r w:rsidR="00905F5C">
        <w:rPr>
          <w:rFonts w:ascii="Verdana" w:hAnsi="Verdana"/>
          <w:sz w:val="16"/>
          <w:szCs w:val="16"/>
        </w:rPr>
        <w:t xml:space="preserve">             </w:t>
      </w:r>
      <w:r w:rsidRPr="005C6D78">
        <w:rPr>
          <w:rFonts w:ascii="Verdana" w:hAnsi="Verdana"/>
          <w:sz w:val="16"/>
          <w:szCs w:val="16"/>
        </w:rPr>
        <w:t>o udzielenie Pożyczki.  Przedstawione w ramach rozliczenia dokumenty powinny w sposób jednoznaczny potwierdzać,</w:t>
      </w:r>
      <w:r w:rsidR="00903D3A">
        <w:rPr>
          <w:rFonts w:ascii="Verdana" w:hAnsi="Verdana"/>
          <w:sz w:val="16"/>
          <w:szCs w:val="16"/>
        </w:rPr>
        <w:t xml:space="preserve"> </w:t>
      </w:r>
      <w:r w:rsidR="00905F5C">
        <w:rPr>
          <w:rFonts w:ascii="Verdana" w:hAnsi="Verdana"/>
          <w:sz w:val="16"/>
          <w:szCs w:val="16"/>
        </w:rPr>
        <w:t xml:space="preserve">            </w:t>
      </w:r>
      <w:bookmarkStart w:id="0" w:name="_GoBack"/>
      <w:bookmarkEnd w:id="0"/>
      <w:r w:rsidRPr="005C6D78">
        <w:rPr>
          <w:rFonts w:ascii="Verdana" w:hAnsi="Verdana"/>
          <w:sz w:val="16"/>
          <w:szCs w:val="16"/>
        </w:rPr>
        <w:t>że cała kwota Pożyczki została wykorzystana zgodnie z przeznaczeniem, na jakie została udzielona.</w:t>
      </w:r>
    </w:p>
    <w:p w14:paraId="40BC049C" w14:textId="77777777" w:rsidR="005C6D78" w:rsidRPr="005C6D78" w:rsidRDefault="005C6D78" w:rsidP="00291B87">
      <w:pPr>
        <w:pStyle w:val="Akapitzlist"/>
        <w:numPr>
          <w:ilvl w:val="0"/>
          <w:numId w:val="29"/>
        </w:numPr>
        <w:spacing w:line="240" w:lineRule="auto"/>
        <w:ind w:left="426" w:hanging="284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W przypadku Ostatecznych Odbiorców dotkniętych skutkami epidemii COVID-19, dokumentem potwierdzającym poniesienie wydatków obejmujących dopuszczalne w ramach Pożyczki finansowanie kapitału obrotowego jest zestawienie wydatków.</w:t>
      </w:r>
    </w:p>
    <w:p w14:paraId="08099C9B" w14:textId="77777777" w:rsidR="005C6D78" w:rsidRPr="008F46E1" w:rsidRDefault="005C6D78" w:rsidP="00291B87">
      <w:pPr>
        <w:pStyle w:val="Akapitzlist"/>
        <w:spacing w:after="120" w:line="240" w:lineRule="auto"/>
        <w:ind w:left="0"/>
        <w:contextualSpacing w:val="0"/>
        <w:jc w:val="both"/>
        <w:rPr>
          <w:rFonts w:ascii="Verdana" w:hAnsi="Verdana"/>
          <w:b/>
          <w:sz w:val="10"/>
          <w:szCs w:val="10"/>
        </w:rPr>
      </w:pPr>
    </w:p>
    <w:p w14:paraId="73C9A82B" w14:textId="77777777" w:rsidR="005C6D78" w:rsidRPr="005C6D78" w:rsidRDefault="005C6D78" w:rsidP="00291B87">
      <w:pPr>
        <w:pStyle w:val="Akapitzlist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Przeznaczenie finansowania (Cele Inwestycji)</w:t>
      </w:r>
    </w:p>
    <w:p w14:paraId="1A456CDD" w14:textId="7218EDC8" w:rsidR="005C6D78" w:rsidRPr="005C6D78" w:rsidRDefault="005C6D78" w:rsidP="00644BA7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Pożyczki przeznaczone są na finansowanie przedsięwzięć, realizowanych na terenie województwa wielkopolskiego, mających na celu rozwój bądź wzmocnienie  potencjału gospodarczego Ostatecznych Odbiorców, zwiększenie lub umocnienie </w:t>
      </w:r>
      <w:r w:rsidR="00903D3A">
        <w:rPr>
          <w:rFonts w:ascii="Verdana" w:hAnsi="Verdana"/>
          <w:sz w:val="16"/>
          <w:szCs w:val="16"/>
        </w:rPr>
        <w:t xml:space="preserve">                      </w:t>
      </w:r>
      <w:r w:rsidRPr="005C6D78">
        <w:rPr>
          <w:rFonts w:ascii="Verdana" w:hAnsi="Verdana"/>
          <w:sz w:val="16"/>
          <w:szCs w:val="16"/>
        </w:rPr>
        <w:t>ich pozycji na rynku lub podniesienie ich konkurencyjności m.in. poprzez:</w:t>
      </w:r>
    </w:p>
    <w:p w14:paraId="746E1BD8" w14:textId="77777777" w:rsidR="005C6D78" w:rsidRPr="005C6D78" w:rsidRDefault="005C6D78" w:rsidP="00644BA7">
      <w:pPr>
        <w:numPr>
          <w:ilvl w:val="0"/>
          <w:numId w:val="32"/>
        </w:numPr>
        <w:spacing w:after="0" w:line="240" w:lineRule="auto"/>
        <w:ind w:left="70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lastRenderedPageBreak/>
        <w:t>tworzenie nowych przedsiębiorstw, dostarczanie kapitału początkowego lub kapitału na rozruch lub</w:t>
      </w:r>
    </w:p>
    <w:p w14:paraId="336F2885" w14:textId="77777777" w:rsidR="00394D1B" w:rsidRDefault="005C6D78" w:rsidP="00644BA7">
      <w:pPr>
        <w:numPr>
          <w:ilvl w:val="0"/>
          <w:numId w:val="32"/>
        </w:numPr>
        <w:spacing w:after="0" w:line="240" w:lineRule="auto"/>
        <w:ind w:left="723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rozszerzanie działalności lub</w:t>
      </w:r>
    </w:p>
    <w:p w14:paraId="37E43C43" w14:textId="77777777" w:rsidR="00394D1B" w:rsidRDefault="005C6D78" w:rsidP="00644BA7">
      <w:pPr>
        <w:numPr>
          <w:ilvl w:val="0"/>
          <w:numId w:val="32"/>
        </w:numPr>
        <w:spacing w:after="0" w:line="240" w:lineRule="auto"/>
        <w:ind w:left="723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>wzmocnienie podstawowej działalności przedsiębiorstwa lub</w:t>
      </w:r>
    </w:p>
    <w:p w14:paraId="52A839F1" w14:textId="77777777" w:rsidR="00394D1B" w:rsidRDefault="005C6D78" w:rsidP="00644BA7">
      <w:pPr>
        <w:numPr>
          <w:ilvl w:val="0"/>
          <w:numId w:val="32"/>
        </w:numPr>
        <w:spacing w:after="0" w:line="240" w:lineRule="auto"/>
        <w:ind w:left="723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>realizację nowych projektów lub</w:t>
      </w:r>
    </w:p>
    <w:p w14:paraId="1241FD0D" w14:textId="12C2B50C" w:rsidR="005C6D78" w:rsidRPr="00394D1B" w:rsidRDefault="005C6D78" w:rsidP="00644BA7">
      <w:pPr>
        <w:numPr>
          <w:ilvl w:val="0"/>
          <w:numId w:val="32"/>
        </w:numPr>
        <w:spacing w:after="0" w:line="240" w:lineRule="auto"/>
        <w:ind w:left="723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>przechodzenie przez przedsiębiorstwa na nowe rynki lub na nowe rozwiązania;</w:t>
      </w:r>
    </w:p>
    <w:p w14:paraId="0895A96D" w14:textId="7CD4CCF9" w:rsidR="005C6D78" w:rsidRPr="005C6D78" w:rsidRDefault="005C6D78" w:rsidP="00644BA7">
      <w:pPr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w szczególności w ramach inwestycji związanych z wdrażaniem nowych rozwiązań produkcyjnych i technologicznych, wprowadzaniem nowych i ulepszonych produktów i usług lub zakupem maszyn, sprzętu produkcyjnego,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w tym umożliwiających wdrażanie innowacji.</w:t>
      </w:r>
    </w:p>
    <w:p w14:paraId="70917BEF" w14:textId="5E184A0A" w:rsidR="005C6D78" w:rsidRPr="005C6D78" w:rsidRDefault="005C6D78" w:rsidP="00644BA7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Verdana" w:hAnsi="Verdana"/>
          <w:iCs/>
          <w:sz w:val="16"/>
          <w:szCs w:val="16"/>
        </w:rPr>
      </w:pPr>
      <w:r w:rsidRPr="005C6D78">
        <w:rPr>
          <w:rFonts w:ascii="Verdana" w:hAnsi="Verdana"/>
          <w:iCs/>
          <w:sz w:val="16"/>
          <w:szCs w:val="16"/>
        </w:rPr>
        <w:t>Niezależnie od pkt</w:t>
      </w:r>
      <w:r w:rsidR="00644BA7">
        <w:rPr>
          <w:rFonts w:ascii="Verdana" w:hAnsi="Verdana"/>
          <w:iCs/>
          <w:sz w:val="16"/>
          <w:szCs w:val="16"/>
        </w:rPr>
        <w:t>.</w:t>
      </w:r>
      <w:r w:rsidRPr="005C6D78">
        <w:rPr>
          <w:rFonts w:ascii="Verdana" w:hAnsi="Verdana"/>
          <w:iCs/>
          <w:sz w:val="16"/>
          <w:szCs w:val="16"/>
        </w:rPr>
        <w:t xml:space="preserve"> III.1, Pożyczki mogą być przeznaczone na finansowanie bieżącej działalności przedsiębiorstwa Ostatecznego Odbiorcy, w tym jego kapitału obrotowego, wyłącznie w przypadku: </w:t>
      </w:r>
    </w:p>
    <w:p w14:paraId="4B499D15" w14:textId="77777777" w:rsidR="00394D1B" w:rsidRPr="00C36E92" w:rsidRDefault="005C6D78" w:rsidP="00644BA7">
      <w:pPr>
        <w:pStyle w:val="Akapitzlist"/>
        <w:numPr>
          <w:ilvl w:val="0"/>
          <w:numId w:val="37"/>
        </w:numPr>
        <w:spacing w:after="0" w:line="240" w:lineRule="auto"/>
        <w:ind w:left="723"/>
        <w:jc w:val="both"/>
        <w:rPr>
          <w:rFonts w:ascii="Verdana" w:hAnsi="Verdana"/>
          <w:iCs/>
          <w:sz w:val="16"/>
          <w:szCs w:val="16"/>
        </w:rPr>
      </w:pPr>
      <w:r w:rsidRPr="00C36E92">
        <w:rPr>
          <w:rFonts w:ascii="Verdana" w:hAnsi="Verdana"/>
          <w:iCs/>
          <w:sz w:val="16"/>
          <w:szCs w:val="16"/>
        </w:rPr>
        <w:t xml:space="preserve">Ostatecznych Odbiorców dotkniętych </w:t>
      </w:r>
      <w:bookmarkStart w:id="1" w:name="_Hlk37333912"/>
      <w:r w:rsidRPr="00C36E92">
        <w:rPr>
          <w:rFonts w:ascii="Verdana" w:hAnsi="Verdana"/>
          <w:iCs/>
          <w:sz w:val="16"/>
          <w:szCs w:val="16"/>
        </w:rPr>
        <w:t>negatywnymi skutkami epidemii COVID-19</w:t>
      </w:r>
      <w:bookmarkEnd w:id="1"/>
      <w:r w:rsidRPr="00C36E92">
        <w:rPr>
          <w:rFonts w:ascii="Verdana" w:hAnsi="Verdana"/>
          <w:iCs/>
          <w:sz w:val="16"/>
          <w:szCs w:val="16"/>
        </w:rPr>
        <w:t xml:space="preserve"> – w celu zachowania płynności finansowej lub kontynuacji działalności ich przedsiębiorstwa; </w:t>
      </w:r>
    </w:p>
    <w:p w14:paraId="465786A4" w14:textId="0AC86F96" w:rsidR="005C6D78" w:rsidRPr="00394D1B" w:rsidRDefault="005C6D78" w:rsidP="00644BA7">
      <w:pPr>
        <w:pStyle w:val="Akapitzlist"/>
        <w:numPr>
          <w:ilvl w:val="0"/>
          <w:numId w:val="37"/>
        </w:numPr>
        <w:spacing w:after="0" w:line="240" w:lineRule="auto"/>
        <w:ind w:left="723"/>
        <w:jc w:val="both"/>
        <w:rPr>
          <w:rFonts w:ascii="Verdana" w:hAnsi="Verdana"/>
          <w:iCs/>
          <w:sz w:val="16"/>
          <w:szCs w:val="16"/>
        </w:rPr>
      </w:pPr>
      <w:r w:rsidRPr="00394D1B">
        <w:rPr>
          <w:rFonts w:ascii="Verdana" w:hAnsi="Verdana"/>
          <w:iCs/>
          <w:sz w:val="16"/>
          <w:szCs w:val="16"/>
        </w:rPr>
        <w:t>Ostatecznych Odbiorców realizujących przedsięwzięcia</w:t>
      </w:r>
      <w:r w:rsidRPr="005C6D78">
        <w:rPr>
          <w:vertAlign w:val="superscript"/>
        </w:rPr>
        <w:footnoteReference w:id="1"/>
      </w:r>
      <w:r w:rsidRPr="00394D1B">
        <w:rPr>
          <w:rFonts w:ascii="Verdana" w:hAnsi="Verdana"/>
          <w:iCs/>
          <w:sz w:val="16"/>
          <w:szCs w:val="16"/>
        </w:rPr>
        <w:t xml:space="preserve"> przyczyniające się do przeciwdziałania  epidemii COVID-19 – </w:t>
      </w:r>
      <w:r w:rsidR="00412659">
        <w:rPr>
          <w:rFonts w:ascii="Verdana" w:hAnsi="Verdana"/>
          <w:iCs/>
          <w:sz w:val="16"/>
          <w:szCs w:val="16"/>
        </w:rPr>
        <w:br/>
      </w:r>
      <w:r w:rsidRPr="00394D1B">
        <w:rPr>
          <w:rFonts w:ascii="Verdana" w:hAnsi="Verdana"/>
          <w:iCs/>
          <w:sz w:val="16"/>
          <w:szCs w:val="16"/>
        </w:rPr>
        <w:t xml:space="preserve">w celu realizacji tych przedsięwzięć. </w:t>
      </w:r>
    </w:p>
    <w:p w14:paraId="1705FDFC" w14:textId="38679A3B" w:rsidR="00394D1B" w:rsidRDefault="005C6D78" w:rsidP="00644BA7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Verdana" w:hAnsi="Verdana"/>
          <w:iCs/>
          <w:sz w:val="16"/>
          <w:szCs w:val="16"/>
        </w:rPr>
      </w:pPr>
      <w:r w:rsidRPr="005C6D78">
        <w:rPr>
          <w:rFonts w:ascii="Verdana" w:hAnsi="Verdana"/>
          <w:iCs/>
          <w:sz w:val="16"/>
          <w:szCs w:val="16"/>
        </w:rPr>
        <w:t xml:space="preserve">Pożyczki na cele wskazane w pkt. III.2 mogą być udzielane w terminie do </w:t>
      </w:r>
      <w:r w:rsidR="00644BA7">
        <w:rPr>
          <w:rFonts w:ascii="Verdana" w:eastAsia="Calibri" w:hAnsi="Verdana" w:cs="Times New Roman"/>
          <w:sz w:val="16"/>
          <w:szCs w:val="16"/>
        </w:rPr>
        <w:t>30 czerwca 2021</w:t>
      </w:r>
      <w:r w:rsidRPr="005C6D78">
        <w:rPr>
          <w:rFonts w:ascii="Verdana" w:hAnsi="Verdana"/>
          <w:iCs/>
          <w:sz w:val="16"/>
          <w:szCs w:val="16"/>
        </w:rPr>
        <w:t xml:space="preserve"> roku.</w:t>
      </w:r>
    </w:p>
    <w:p w14:paraId="59F17A7D" w14:textId="2DCEB053" w:rsidR="005C6D78" w:rsidRPr="008F46E1" w:rsidRDefault="005C6D78" w:rsidP="00644BA7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Verdana" w:hAnsi="Verdana"/>
          <w:iCs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>Udział Pożyczki w koszcie realizowanego przedsięwzięcia może stanowić do 100% jego wartości.</w:t>
      </w:r>
    </w:p>
    <w:p w14:paraId="6D4F2CBA" w14:textId="77777777" w:rsidR="008F46E1" w:rsidRPr="008F46E1" w:rsidRDefault="008F46E1" w:rsidP="00291B87">
      <w:pPr>
        <w:pStyle w:val="Akapitzlist"/>
        <w:spacing w:after="120" w:line="240" w:lineRule="auto"/>
        <w:ind w:left="360"/>
        <w:jc w:val="both"/>
        <w:rPr>
          <w:rFonts w:ascii="Verdana" w:hAnsi="Verdana"/>
          <w:iCs/>
          <w:sz w:val="10"/>
          <w:szCs w:val="10"/>
        </w:rPr>
      </w:pPr>
    </w:p>
    <w:p w14:paraId="1FF4EC0C" w14:textId="77777777" w:rsidR="005C6D78" w:rsidRPr="005C6D78" w:rsidRDefault="005C6D78" w:rsidP="00291B87">
      <w:pPr>
        <w:pStyle w:val="Akapitzlist"/>
        <w:numPr>
          <w:ilvl w:val="0"/>
          <w:numId w:val="30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Wykluczenia z finansowania</w:t>
      </w:r>
    </w:p>
    <w:p w14:paraId="12104BA6" w14:textId="5E5CCAF3" w:rsidR="005C6D78" w:rsidRPr="005C6D78" w:rsidRDefault="005C6D78" w:rsidP="00644BA7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Środki z Pożyczki nie mogą być przeznaczone na:</w:t>
      </w:r>
    </w:p>
    <w:p w14:paraId="1632D721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wydatków pokrytych uprzednio ze środków EFSI, z innych funduszy, programów, środków i instrumentów Unii Europejskiej lub innych źródeł pomocy krajowej lub zagranicznej;</w:t>
      </w:r>
    </w:p>
    <w:p w14:paraId="3773CCD4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prefinansowanie wydatków, na które otrzymano dofinansowanie w formie dotacji lub pomocy zwrotnej;</w:t>
      </w:r>
    </w:p>
    <w:p w14:paraId="7085B190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refinansowanie inwestycji, które w dniu podjęcia decyzji inwestycyjnej o udzieleniu Pożyczki zostały fizycznie ukończone lub w pełni wdrożone;</w:t>
      </w:r>
    </w:p>
    <w:p w14:paraId="53F9C544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refinansowanie jakichkolwiek pożyczek, kredytów lub rat leasingowych;</w:t>
      </w:r>
    </w:p>
    <w:p w14:paraId="3011A788" w14:textId="03352009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dokonanie spłaty zobowiązań </w:t>
      </w:r>
      <w:proofErr w:type="spellStart"/>
      <w:r w:rsidRPr="005C6D78">
        <w:rPr>
          <w:rFonts w:ascii="Verdana" w:hAnsi="Verdana"/>
          <w:sz w:val="16"/>
          <w:szCs w:val="16"/>
        </w:rPr>
        <w:t>publiczno</w:t>
      </w:r>
      <w:proofErr w:type="spellEnd"/>
      <w:r w:rsidRPr="005C6D78">
        <w:rPr>
          <w:rFonts w:ascii="Verdana" w:hAnsi="Verdana"/>
          <w:sz w:val="16"/>
          <w:szCs w:val="16"/>
        </w:rPr>
        <w:t xml:space="preserve"> – prawnych, wymagalnych przed 1 marca 2020 r., a także spłaty zobowiązań wynikających z sankcji nałożonych na Ostatecznego Odbiorcę,</w:t>
      </w:r>
      <w:r w:rsidR="00394D1B">
        <w:rPr>
          <w:rFonts w:ascii="Verdana" w:hAnsi="Verdana"/>
          <w:sz w:val="16"/>
          <w:szCs w:val="16"/>
        </w:rPr>
        <w:t xml:space="preserve"> </w:t>
      </w:r>
      <w:r w:rsidRPr="005C6D78">
        <w:rPr>
          <w:rFonts w:ascii="Verdana" w:hAnsi="Verdana"/>
          <w:sz w:val="16"/>
          <w:szCs w:val="16"/>
        </w:rPr>
        <w:t xml:space="preserve">w tym na podstawie decyzji administracyjnych </w:t>
      </w:r>
      <w:r w:rsidR="00394D1B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i prawomocnych wyroków sądowych;</w:t>
      </w:r>
    </w:p>
    <w:p w14:paraId="3054E07A" w14:textId="64DD40CA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cele niezgodne z Celami Inwestycji określonymi w pkt</w:t>
      </w:r>
      <w:r w:rsidR="00644BA7">
        <w:rPr>
          <w:rFonts w:ascii="Verdana" w:hAnsi="Verdana"/>
          <w:sz w:val="16"/>
          <w:szCs w:val="16"/>
        </w:rPr>
        <w:t>.</w:t>
      </w:r>
      <w:r w:rsidRPr="005C6D78">
        <w:rPr>
          <w:rFonts w:ascii="Verdana" w:hAnsi="Verdana"/>
          <w:sz w:val="16"/>
          <w:szCs w:val="16"/>
        </w:rPr>
        <w:t xml:space="preserve"> III; </w:t>
      </w:r>
    </w:p>
    <w:p w14:paraId="43347A84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zakupu aktywów finansowych przeznaczonych do obrotu;</w:t>
      </w:r>
    </w:p>
    <w:p w14:paraId="4F4CFDC2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zakupu nieruchomości przeznaczonych do obrotu;</w:t>
      </w:r>
    </w:p>
    <w:p w14:paraId="57AFD337" w14:textId="170B7973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zakupu gruntów niezabudowanych lub zabudowanych innych niż określone w pkt</w:t>
      </w:r>
      <w:r w:rsidR="00644BA7">
        <w:rPr>
          <w:rFonts w:ascii="Verdana" w:hAnsi="Verdana"/>
          <w:sz w:val="16"/>
          <w:szCs w:val="16"/>
        </w:rPr>
        <w:t>.</w:t>
      </w:r>
      <w:r w:rsidRPr="005C6D78">
        <w:rPr>
          <w:rFonts w:ascii="Verdana" w:hAnsi="Verdana"/>
          <w:sz w:val="16"/>
          <w:szCs w:val="16"/>
        </w:rPr>
        <w:t xml:space="preserve"> IV.8 powyżej, w kwocie przekraczającej 10 % wypłaconej Pożyczki;</w:t>
      </w:r>
    </w:p>
    <w:p w14:paraId="0F46D9B9" w14:textId="621BFAFB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kształcenia, szkolenia, szkolenia zawodowego pracowników lub innych przedsięwzięć bezpośrednio objętych zakresem rozporządzenia Parlamentu Europejskiego i Rady (UE) nr 1304/2013 w sprawie Europejskiego Funduszu Społecznego;</w:t>
      </w:r>
    </w:p>
    <w:p w14:paraId="2C1B4189" w14:textId="466D7C2C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finansowanie działalności w zakresie wytwarzania, przetwórstwa lub wprowadzania do obrotu przez producenta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lub importera tytoniu i wyrobów tytoniowych;</w:t>
      </w:r>
    </w:p>
    <w:p w14:paraId="2CADE882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działalności w zakresie produkcji lub wprowadzania do obrotu przez producenta lub importera napojów alkoholowych;</w:t>
      </w:r>
    </w:p>
    <w:p w14:paraId="26BD7E7F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działalności w zakresie produkcji lub wprowadzania do obrotu przez producenta lub importera treści pornograficznych;</w:t>
      </w:r>
    </w:p>
    <w:p w14:paraId="4EAA9B9D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działalności w zakresie obrotu materiałami wybuchowymi, bronią i  amunicją;</w:t>
      </w:r>
    </w:p>
    <w:p w14:paraId="0220A8D6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finansowanie działalności w zakresie gier losowych, zakładów wzajemnych, gier na automatach </w:t>
      </w:r>
      <w:r w:rsidRPr="005C6D78">
        <w:rPr>
          <w:rFonts w:ascii="Verdana" w:hAnsi="Verdana"/>
          <w:sz w:val="16"/>
          <w:szCs w:val="16"/>
        </w:rPr>
        <w:br/>
        <w:t>i gier na automatach o niskich wygranych;</w:t>
      </w:r>
    </w:p>
    <w:p w14:paraId="39F9C234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działalności w zakresie produkcji lub wprowadzania do obrotu przez producenta lub importera środków odurzających, substancji psychotropowych lub prekursorów;</w:t>
      </w:r>
    </w:p>
    <w:p w14:paraId="3D9C2208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likwidacji ani budowy elektrowni jądrowych;</w:t>
      </w:r>
    </w:p>
    <w:p w14:paraId="29D24EEB" w14:textId="616B697F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finansowanie inwestycji na rzecz redukcji emisji gazów cieplarnianych pochodzących z listy działań wymienionych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w załączniku I do dyrektywy 2003/87/WE;</w:t>
      </w:r>
    </w:p>
    <w:p w14:paraId="042A6830" w14:textId="70BB0A58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finansowanie inwestycji w infrastrukturę portów lotniczych, chyba że są one związane z ochroną środowiska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lub towarzyszą im inwestycje niezbędne do łagodzenia lub ograniczenia ich negatywnego oddziaływania na środowisko;</w:t>
      </w:r>
    </w:p>
    <w:p w14:paraId="69EBB29B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działalności badawczo-rozwojowej;</w:t>
      </w:r>
    </w:p>
    <w:p w14:paraId="122FD4DB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inwestycji w zakresie produkcji i pierwszego etapu przetwórstwa produktów rolnych</w:t>
      </w:r>
      <w:r w:rsidRPr="005C6D78">
        <w:rPr>
          <w:rFonts w:ascii="Verdana" w:hAnsi="Verdana"/>
          <w:sz w:val="16"/>
          <w:szCs w:val="16"/>
          <w:vertAlign w:val="superscript"/>
        </w:rPr>
        <w:footnoteReference w:id="2"/>
      </w:r>
      <w:r w:rsidRPr="005C6D78">
        <w:rPr>
          <w:rFonts w:ascii="Verdana" w:hAnsi="Verdana"/>
          <w:sz w:val="16"/>
          <w:szCs w:val="16"/>
        </w:rPr>
        <w:t>;</w:t>
      </w:r>
    </w:p>
    <w:p w14:paraId="5005824A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finansowanie projektów inwestycyjnych podmiotów ekonomii społecznej;</w:t>
      </w:r>
    </w:p>
    <w:p w14:paraId="7E643B94" w14:textId="77777777" w:rsidR="005C6D78" w:rsidRPr="005C6D78" w:rsidRDefault="005C6D78" w:rsidP="00291B87">
      <w:pPr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finansowanie wsparcia międzynarodowej współpracy gospodarczej przedsiębiorstw; </w:t>
      </w:r>
    </w:p>
    <w:p w14:paraId="6EEEBE99" w14:textId="7093646A" w:rsidR="005C6D78" w:rsidRPr="00394D1B" w:rsidRDefault="005C6D78" w:rsidP="00291B87">
      <w:pPr>
        <w:pStyle w:val="Akapitzlist"/>
        <w:numPr>
          <w:ilvl w:val="0"/>
          <w:numId w:val="26"/>
        </w:numPr>
        <w:spacing w:line="240" w:lineRule="auto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inne cele, których finansowanie jest wykluczone na mocy innych właściwych przepisów.</w:t>
      </w:r>
      <w:r w:rsidR="00394D1B">
        <w:rPr>
          <w:rFonts w:ascii="Verdana" w:hAnsi="Verdana"/>
          <w:sz w:val="16"/>
          <w:szCs w:val="16"/>
        </w:rPr>
        <w:br/>
      </w:r>
    </w:p>
    <w:p w14:paraId="5812F6B5" w14:textId="77777777" w:rsidR="005C6D78" w:rsidRPr="005C6D78" w:rsidRDefault="005C6D78" w:rsidP="00291B87">
      <w:pPr>
        <w:pStyle w:val="Akapitzlist"/>
        <w:numPr>
          <w:ilvl w:val="0"/>
          <w:numId w:val="30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Ograniczenia w finansowaniu</w:t>
      </w:r>
    </w:p>
    <w:p w14:paraId="6A8F52CC" w14:textId="5288D0AC" w:rsidR="005C6D78" w:rsidRPr="005C6D78" w:rsidRDefault="005C6D78" w:rsidP="00644BA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Finansowanie zakupu gruntów niezabudowanych i zabudowanych w ramach finansowanej inwestycji możliwe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jest do wysokości 10% środków Pożyczki wypłaconych na rzecz Ostatecznego Odbiorcy.</w:t>
      </w:r>
    </w:p>
    <w:p w14:paraId="17683C2C" w14:textId="25832A6B" w:rsidR="005C6D78" w:rsidRPr="005C6D78" w:rsidRDefault="005C6D78" w:rsidP="00644BA7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W przypadku pożyczek przeznaczonych wyłącznie na cele wskazane w pkt. III.1, finansowanie kapitału obrotowego </w:t>
      </w:r>
      <w:r w:rsidR="00E603A6">
        <w:rPr>
          <w:rFonts w:ascii="Verdana" w:hAnsi="Verdana"/>
          <w:sz w:val="16"/>
          <w:szCs w:val="16"/>
        </w:rPr>
        <w:t xml:space="preserve">            </w:t>
      </w:r>
      <w:r w:rsidRPr="005C6D78">
        <w:rPr>
          <w:rFonts w:ascii="Verdana" w:hAnsi="Verdana"/>
          <w:sz w:val="16"/>
          <w:szCs w:val="16"/>
        </w:rPr>
        <w:t xml:space="preserve">jest możliwe do wysokości 50 % Pożyczki, pod warunkiem, że takie finasowanie jest niezbędne do realizacji </w:t>
      </w:r>
      <w:r w:rsidRPr="005C6D78">
        <w:rPr>
          <w:rFonts w:ascii="Verdana" w:hAnsi="Verdana"/>
          <w:sz w:val="16"/>
          <w:szCs w:val="16"/>
        </w:rPr>
        <w:lastRenderedPageBreak/>
        <w:t>przedsięwzięcia, zgodnego z celami wskazanymi w pkt</w:t>
      </w:r>
      <w:r w:rsidR="00644BA7">
        <w:rPr>
          <w:rFonts w:ascii="Verdana" w:hAnsi="Verdana"/>
          <w:sz w:val="16"/>
          <w:szCs w:val="16"/>
        </w:rPr>
        <w:t>.</w:t>
      </w:r>
      <w:r w:rsidRPr="005C6D78">
        <w:rPr>
          <w:rFonts w:ascii="Verdana" w:hAnsi="Verdana"/>
          <w:sz w:val="16"/>
          <w:szCs w:val="16"/>
        </w:rPr>
        <w:t xml:space="preserve"> III.1, oraz jest zgodne z Wytycznymi EGESIF_14_0041-1 z dnia 27 marca 2015 r., pt</w:t>
      </w:r>
      <w:r w:rsidRPr="005C6D78">
        <w:rPr>
          <w:rFonts w:ascii="Verdana" w:hAnsi="Verdana"/>
          <w:i/>
          <w:sz w:val="16"/>
          <w:szCs w:val="16"/>
        </w:rPr>
        <w:t xml:space="preserve">. </w:t>
      </w:r>
      <w:r w:rsidRPr="005C6D78">
        <w:rPr>
          <w:rFonts w:ascii="Verdana" w:hAnsi="Verdana"/>
          <w:i/>
          <w:sz w:val="16"/>
          <w:szCs w:val="16"/>
          <w:lang w:val="en-US"/>
        </w:rPr>
        <w:t>Guidance for Member States on Article 37(4) CPR – Support on enterprises/working capital</w:t>
      </w:r>
      <w:r w:rsidRPr="005C6D78">
        <w:rPr>
          <w:rFonts w:ascii="Verdana" w:hAnsi="Verdana"/>
          <w:sz w:val="16"/>
          <w:szCs w:val="16"/>
          <w:lang w:val="en-US"/>
        </w:rPr>
        <w:t xml:space="preserve">. </w:t>
      </w:r>
      <w:r w:rsidRPr="005C6D78">
        <w:rPr>
          <w:rFonts w:ascii="Verdana" w:hAnsi="Verdana"/>
          <w:sz w:val="16"/>
          <w:szCs w:val="16"/>
        </w:rPr>
        <w:t>Ostateczny</w:t>
      </w:r>
      <w:r w:rsidR="00E603A6">
        <w:rPr>
          <w:rFonts w:ascii="Verdana" w:hAnsi="Verdana"/>
          <w:sz w:val="16"/>
          <w:szCs w:val="16"/>
        </w:rPr>
        <w:t xml:space="preserve"> </w:t>
      </w:r>
      <w:r w:rsidRPr="005C6D78">
        <w:rPr>
          <w:rFonts w:ascii="Verdana" w:hAnsi="Verdana"/>
          <w:sz w:val="16"/>
          <w:szCs w:val="16"/>
        </w:rPr>
        <w:t>Odbiorca</w:t>
      </w:r>
      <w:r w:rsidR="00E603A6">
        <w:rPr>
          <w:rFonts w:ascii="Verdana" w:hAnsi="Verdana"/>
          <w:sz w:val="16"/>
          <w:szCs w:val="16"/>
        </w:rPr>
        <w:t xml:space="preserve"> </w:t>
      </w:r>
      <w:r w:rsidRPr="005C6D78">
        <w:rPr>
          <w:rFonts w:ascii="Verdana" w:hAnsi="Verdana"/>
          <w:sz w:val="16"/>
          <w:szCs w:val="16"/>
        </w:rPr>
        <w:t xml:space="preserve">w dokumentach aplikacyjnych, powinien opisać w jaki sposób finansowanie kapitału obrotowego </w:t>
      </w:r>
      <w:r w:rsidR="00E603A6">
        <w:rPr>
          <w:rFonts w:ascii="Verdana" w:hAnsi="Verdana"/>
          <w:sz w:val="16"/>
          <w:szCs w:val="16"/>
        </w:rPr>
        <w:t xml:space="preserve">       </w:t>
      </w:r>
      <w:r w:rsidRPr="005C6D78">
        <w:rPr>
          <w:rFonts w:ascii="Verdana" w:hAnsi="Verdana"/>
          <w:sz w:val="16"/>
          <w:szCs w:val="16"/>
        </w:rPr>
        <w:t>w ramach Pożyczki powiązane jest z realizacją celów wskazanych pkt</w:t>
      </w:r>
      <w:r w:rsidR="00644BA7">
        <w:rPr>
          <w:rFonts w:ascii="Verdana" w:hAnsi="Verdana"/>
          <w:sz w:val="16"/>
          <w:szCs w:val="16"/>
        </w:rPr>
        <w:t>.</w:t>
      </w:r>
      <w:r w:rsidRPr="005C6D78">
        <w:rPr>
          <w:rFonts w:ascii="Verdana" w:hAnsi="Verdana"/>
          <w:sz w:val="16"/>
          <w:szCs w:val="16"/>
        </w:rPr>
        <w:t xml:space="preserve"> III.1.</w:t>
      </w:r>
    </w:p>
    <w:p w14:paraId="669CA497" w14:textId="33FF0398" w:rsidR="005C6D78" w:rsidRDefault="005C6D78" w:rsidP="00644BA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W przypadku Pożyczek przeznaczonych zarówno na cele wskazane w pkt</w:t>
      </w:r>
      <w:r w:rsidR="00644BA7">
        <w:rPr>
          <w:rFonts w:ascii="Verdana" w:hAnsi="Verdana"/>
          <w:sz w:val="16"/>
          <w:szCs w:val="16"/>
        </w:rPr>
        <w:t>.</w:t>
      </w:r>
      <w:r w:rsidRPr="005C6D78">
        <w:rPr>
          <w:rFonts w:ascii="Verdana" w:hAnsi="Verdana"/>
          <w:sz w:val="16"/>
          <w:szCs w:val="16"/>
        </w:rPr>
        <w:t xml:space="preserve"> III.1, jak i w pkt</w:t>
      </w:r>
      <w:r w:rsidR="00644BA7">
        <w:rPr>
          <w:rFonts w:ascii="Verdana" w:hAnsi="Verdana"/>
          <w:sz w:val="16"/>
          <w:szCs w:val="16"/>
        </w:rPr>
        <w:t>.</w:t>
      </w:r>
      <w:r w:rsidRPr="005C6D78">
        <w:rPr>
          <w:rFonts w:ascii="Verdana" w:hAnsi="Verdana"/>
          <w:sz w:val="16"/>
          <w:szCs w:val="16"/>
        </w:rPr>
        <w:t xml:space="preserve"> III.2, kapitał obrotowy finansowany w ramach celu, o którym mowa w pkt. III.1 nie może przekroczyć 50% wydatków ponoszonych </w:t>
      </w:r>
      <w:r w:rsidR="00E603A6">
        <w:rPr>
          <w:rFonts w:ascii="Verdana" w:hAnsi="Verdana"/>
          <w:sz w:val="16"/>
          <w:szCs w:val="16"/>
        </w:rPr>
        <w:t xml:space="preserve">               </w:t>
      </w:r>
      <w:r w:rsidRPr="005C6D78">
        <w:rPr>
          <w:rFonts w:ascii="Verdana" w:hAnsi="Verdana"/>
          <w:sz w:val="16"/>
          <w:szCs w:val="16"/>
        </w:rPr>
        <w:t>w jego ramach oraz musi spełniać pozostałe wymogi określone w pkt. V.2.</w:t>
      </w:r>
    </w:p>
    <w:p w14:paraId="27D5E6F4" w14:textId="77777777" w:rsidR="008F46E1" w:rsidRPr="008F46E1" w:rsidRDefault="008F46E1" w:rsidP="00291B87">
      <w:pPr>
        <w:pStyle w:val="Akapitzlist"/>
        <w:spacing w:line="240" w:lineRule="auto"/>
        <w:jc w:val="both"/>
        <w:rPr>
          <w:rFonts w:ascii="Verdana" w:hAnsi="Verdana"/>
          <w:sz w:val="10"/>
          <w:szCs w:val="10"/>
        </w:rPr>
      </w:pPr>
    </w:p>
    <w:p w14:paraId="2263222E" w14:textId="77777777" w:rsidR="005C6D78" w:rsidRPr="005C6D78" w:rsidRDefault="005C6D78" w:rsidP="00291B87">
      <w:pPr>
        <w:pStyle w:val="Akapitzlist"/>
        <w:numPr>
          <w:ilvl w:val="0"/>
          <w:numId w:val="30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 xml:space="preserve">Zasady odpłatności za udzielenie Małej Pożyczki Inwestycyjnej </w:t>
      </w:r>
    </w:p>
    <w:p w14:paraId="5022F2B6" w14:textId="77777777" w:rsidR="005C6D78" w:rsidRPr="005C6D78" w:rsidRDefault="005C6D78" w:rsidP="00291B87">
      <w:pPr>
        <w:pStyle w:val="Akapitzlist"/>
        <w:numPr>
          <w:ilvl w:val="0"/>
          <w:numId w:val="25"/>
        </w:numPr>
        <w:spacing w:after="120" w:line="240" w:lineRule="auto"/>
        <w:ind w:left="426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Pożyczka mała może być oprocentowana:</w:t>
      </w:r>
    </w:p>
    <w:p w14:paraId="67C60C34" w14:textId="50B4A859" w:rsidR="005C6D78" w:rsidRPr="005C6D78" w:rsidRDefault="005C6D78" w:rsidP="00291B87">
      <w:pPr>
        <w:pStyle w:val="Akapitzlist"/>
        <w:numPr>
          <w:ilvl w:val="0"/>
          <w:numId w:val="31"/>
        </w:numPr>
        <w:spacing w:after="120" w:line="240" w:lineRule="auto"/>
        <w:ind w:left="789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na warunkach rynkowych</w:t>
      </w:r>
      <w:r w:rsidRPr="005C6D78">
        <w:rPr>
          <w:rFonts w:ascii="Verdana" w:hAnsi="Verdana"/>
          <w:sz w:val="16"/>
          <w:szCs w:val="16"/>
        </w:rPr>
        <w:t xml:space="preserve">, </w:t>
      </w:r>
      <w:r w:rsidRPr="005C6D78">
        <w:rPr>
          <w:rFonts w:ascii="Verdana" w:hAnsi="Verdana"/>
          <w:sz w:val="16"/>
          <w:szCs w:val="16"/>
          <w:u w:val="single"/>
        </w:rPr>
        <w:t>według stopy referencyjnej</w:t>
      </w:r>
      <w:r w:rsidRPr="005C6D78">
        <w:rPr>
          <w:rFonts w:ascii="Verdana" w:hAnsi="Verdana"/>
          <w:sz w:val="16"/>
          <w:szCs w:val="16"/>
        </w:rPr>
        <w:t xml:space="preserve"> obliczanej przy zastosowaniu obowiązującej stopy bazowej oraz marży ustalonej w oparciu o </w:t>
      </w:r>
      <w:r w:rsidRPr="005C6D78">
        <w:rPr>
          <w:rFonts w:ascii="Verdana" w:hAnsi="Verdana"/>
          <w:iCs/>
          <w:sz w:val="16"/>
          <w:szCs w:val="16"/>
        </w:rPr>
        <w:t>Komunikat Komisji Europejskiej w sprawie zmiany metody ustalania stóp referencyjnych i dyskontowych</w:t>
      </w:r>
      <w:r w:rsidRPr="005C6D78">
        <w:rPr>
          <w:rFonts w:ascii="Verdana" w:hAnsi="Verdana"/>
          <w:i/>
          <w:iCs/>
          <w:sz w:val="16"/>
          <w:szCs w:val="16"/>
        </w:rPr>
        <w:t xml:space="preserve"> </w:t>
      </w:r>
      <w:r w:rsidRPr="005C6D78">
        <w:rPr>
          <w:rFonts w:ascii="Verdana" w:hAnsi="Verdana"/>
          <w:sz w:val="16"/>
          <w:szCs w:val="16"/>
        </w:rPr>
        <w:t xml:space="preserve">(Dz. Urz. UE C 14 z 19.1.2008 r. lub komunikat zastępujący) oraz po przeprowadzeniu analizy ryzyka niespłacenia zaciągniętego przez przedsiębiorcę zobowiązania </w:t>
      </w:r>
      <w:r w:rsidRPr="005C6D78">
        <w:rPr>
          <w:rFonts w:ascii="Verdana" w:hAnsi="Verdana"/>
          <w:bCs/>
          <w:sz w:val="16"/>
          <w:szCs w:val="16"/>
        </w:rPr>
        <w:t xml:space="preserve">na podstawie wdrożonej i akceptowanej w sektorze finansowym metodologii wyznaczania współczynnika ryzyka. </w:t>
      </w:r>
    </w:p>
    <w:p w14:paraId="52B6EB10" w14:textId="33C2A77B" w:rsidR="00394D1B" w:rsidRDefault="005C6D78" w:rsidP="00291B87">
      <w:pPr>
        <w:spacing w:after="120" w:line="240" w:lineRule="auto"/>
        <w:ind w:left="789"/>
        <w:jc w:val="both"/>
        <w:rPr>
          <w:rFonts w:ascii="Verdana" w:hAnsi="Verdana"/>
          <w:b/>
          <w:sz w:val="16"/>
          <w:szCs w:val="16"/>
        </w:rPr>
      </w:pPr>
      <w:r w:rsidRPr="00394D1B">
        <w:rPr>
          <w:rFonts w:ascii="Verdana" w:hAnsi="Verdana"/>
          <w:b/>
          <w:sz w:val="16"/>
          <w:szCs w:val="16"/>
        </w:rPr>
        <w:t xml:space="preserve">Stopa bazowa publikowana jest przez Komisję Europejską w dzienniku Urzędowym Unii Europejskiej </w:t>
      </w:r>
      <w:r w:rsidR="00412659">
        <w:rPr>
          <w:rFonts w:ascii="Verdana" w:hAnsi="Verdana"/>
          <w:b/>
          <w:sz w:val="16"/>
          <w:szCs w:val="16"/>
        </w:rPr>
        <w:br/>
      </w:r>
      <w:r w:rsidRPr="00394D1B">
        <w:rPr>
          <w:rFonts w:ascii="Verdana" w:hAnsi="Verdana"/>
          <w:b/>
          <w:sz w:val="16"/>
          <w:szCs w:val="16"/>
        </w:rPr>
        <w:t xml:space="preserve">i dostępna jest na stronie: </w:t>
      </w:r>
    </w:p>
    <w:p w14:paraId="7A7A1D88" w14:textId="77777777" w:rsidR="00394D1B" w:rsidRDefault="005E1C52" w:rsidP="00291B87">
      <w:pPr>
        <w:spacing w:after="120" w:line="240" w:lineRule="auto"/>
        <w:ind w:left="789"/>
        <w:jc w:val="both"/>
        <w:rPr>
          <w:rFonts w:ascii="Verdana" w:hAnsi="Verdana"/>
          <w:b/>
          <w:sz w:val="16"/>
          <w:szCs w:val="16"/>
        </w:rPr>
      </w:pPr>
      <w:hyperlink r:id="rId9" w:history="1">
        <w:r w:rsidR="00394D1B" w:rsidRPr="00235674">
          <w:rPr>
            <w:rStyle w:val="Hipercze"/>
            <w:rFonts w:ascii="Verdana" w:hAnsi="Verdana"/>
            <w:sz w:val="16"/>
            <w:szCs w:val="16"/>
          </w:rPr>
          <w:t>http://ec.europa.eu/competition/state_aid/legislation/reference_rates.html</w:t>
        </w:r>
      </w:hyperlink>
    </w:p>
    <w:p w14:paraId="3A7B43EA" w14:textId="77777777" w:rsidR="00394D1B" w:rsidRDefault="005C6D78" w:rsidP="00291B87">
      <w:pPr>
        <w:spacing w:after="120" w:line="240" w:lineRule="auto"/>
        <w:ind w:left="789"/>
        <w:jc w:val="both"/>
        <w:rPr>
          <w:rFonts w:ascii="Verdana" w:hAnsi="Verdana"/>
          <w:b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>oraz</w:t>
      </w:r>
    </w:p>
    <w:p w14:paraId="15EC5AE8" w14:textId="77777777" w:rsidR="00394D1B" w:rsidRDefault="005E1C52" w:rsidP="00291B87">
      <w:pPr>
        <w:spacing w:after="120" w:line="240" w:lineRule="auto"/>
        <w:ind w:left="789"/>
        <w:jc w:val="both"/>
        <w:rPr>
          <w:rFonts w:ascii="Verdana" w:hAnsi="Verdana"/>
          <w:b/>
          <w:sz w:val="16"/>
          <w:szCs w:val="16"/>
        </w:rPr>
      </w:pPr>
      <w:hyperlink r:id="rId10" w:history="1">
        <w:r w:rsidR="00394D1B" w:rsidRPr="00235674">
          <w:rPr>
            <w:rStyle w:val="Hipercze"/>
            <w:rFonts w:ascii="Verdana" w:hAnsi="Verdana"/>
            <w:sz w:val="16"/>
            <w:szCs w:val="16"/>
          </w:rPr>
          <w:t>https://uokik.gov.pl/stopa_referencyjna_i_archiwum.php</w:t>
        </w:r>
      </w:hyperlink>
    </w:p>
    <w:p w14:paraId="5484F003" w14:textId="42B0DBC8" w:rsidR="005C6D78" w:rsidRPr="00394D1B" w:rsidRDefault="005C6D78" w:rsidP="00291B87">
      <w:pPr>
        <w:spacing w:after="120" w:line="240" w:lineRule="auto"/>
        <w:ind w:left="789"/>
        <w:jc w:val="both"/>
        <w:rPr>
          <w:rFonts w:ascii="Verdana" w:hAnsi="Verdana"/>
          <w:b/>
          <w:sz w:val="16"/>
          <w:szCs w:val="16"/>
        </w:rPr>
      </w:pPr>
      <w:r w:rsidRPr="00394D1B">
        <w:rPr>
          <w:rFonts w:ascii="Verdana" w:hAnsi="Verdana"/>
          <w:b/>
          <w:sz w:val="16"/>
          <w:szCs w:val="16"/>
        </w:rPr>
        <w:t>Marża jest ustalana w następujący sposób: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1559"/>
        <w:gridCol w:w="1559"/>
        <w:gridCol w:w="1418"/>
      </w:tblGrid>
      <w:tr w:rsidR="005C6D78" w:rsidRPr="005C6D78" w14:paraId="7D97DD31" w14:textId="77777777" w:rsidTr="00394D1B">
        <w:trPr>
          <w:trHeight w:val="270"/>
          <w:jc w:val="center"/>
        </w:trPr>
        <w:tc>
          <w:tcPr>
            <w:tcW w:w="8313" w:type="dxa"/>
            <w:gridSpan w:val="4"/>
            <w:vAlign w:val="center"/>
          </w:tcPr>
          <w:p w14:paraId="0AF895CF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6D78">
              <w:rPr>
                <w:rFonts w:ascii="Verdana" w:hAnsi="Verdana"/>
                <w:b/>
                <w:sz w:val="16"/>
                <w:szCs w:val="16"/>
              </w:rPr>
              <w:t>Marża kredytów w punktach bazowych</w:t>
            </w:r>
          </w:p>
        </w:tc>
      </w:tr>
      <w:tr w:rsidR="005C6D78" w:rsidRPr="005C6D78" w14:paraId="0CD03D62" w14:textId="77777777" w:rsidTr="00394D1B">
        <w:trPr>
          <w:trHeight w:val="330"/>
          <w:jc w:val="center"/>
        </w:trPr>
        <w:tc>
          <w:tcPr>
            <w:tcW w:w="3777" w:type="dxa"/>
            <w:vMerge w:val="restart"/>
            <w:vAlign w:val="center"/>
          </w:tcPr>
          <w:p w14:paraId="460DAD71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6D78">
              <w:rPr>
                <w:rFonts w:ascii="Verdana" w:hAnsi="Verdana"/>
                <w:b/>
                <w:sz w:val="16"/>
                <w:szCs w:val="16"/>
              </w:rPr>
              <w:t>Kategoria ratingu</w:t>
            </w:r>
          </w:p>
        </w:tc>
        <w:tc>
          <w:tcPr>
            <w:tcW w:w="4536" w:type="dxa"/>
            <w:gridSpan w:val="3"/>
            <w:vAlign w:val="center"/>
          </w:tcPr>
          <w:p w14:paraId="15C39FA5" w14:textId="77777777" w:rsidR="005C6D78" w:rsidRPr="005C6D78" w:rsidRDefault="005C6D78" w:rsidP="00291B87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6D78">
              <w:rPr>
                <w:rFonts w:ascii="Verdana" w:hAnsi="Verdana"/>
                <w:b/>
                <w:sz w:val="16"/>
                <w:szCs w:val="16"/>
              </w:rPr>
              <w:t>Poziom zabezpieczeń</w:t>
            </w:r>
          </w:p>
        </w:tc>
      </w:tr>
      <w:tr w:rsidR="005C6D78" w:rsidRPr="005C6D78" w14:paraId="1E7C92E1" w14:textId="77777777" w:rsidTr="00394D1B">
        <w:trPr>
          <w:trHeight w:val="291"/>
          <w:jc w:val="center"/>
        </w:trPr>
        <w:tc>
          <w:tcPr>
            <w:tcW w:w="3777" w:type="dxa"/>
            <w:vMerge/>
            <w:vAlign w:val="center"/>
          </w:tcPr>
          <w:p w14:paraId="2BCF942C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741EF8" w14:textId="77777777" w:rsidR="005C6D78" w:rsidRPr="005C6D78" w:rsidRDefault="005C6D78" w:rsidP="00291B87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6D78">
              <w:rPr>
                <w:rFonts w:ascii="Verdana" w:hAnsi="Verdana"/>
                <w:b/>
                <w:sz w:val="16"/>
                <w:szCs w:val="16"/>
              </w:rPr>
              <w:t>Wysoki</w:t>
            </w:r>
          </w:p>
        </w:tc>
        <w:tc>
          <w:tcPr>
            <w:tcW w:w="1559" w:type="dxa"/>
            <w:vAlign w:val="center"/>
          </w:tcPr>
          <w:p w14:paraId="62D4F8C4" w14:textId="77777777" w:rsidR="005C6D78" w:rsidRPr="005C6D78" w:rsidRDefault="005C6D78" w:rsidP="00291B87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6D78">
              <w:rPr>
                <w:rFonts w:ascii="Verdana" w:hAnsi="Verdana"/>
                <w:b/>
                <w:sz w:val="16"/>
                <w:szCs w:val="16"/>
              </w:rPr>
              <w:t>Standardowy</w:t>
            </w:r>
          </w:p>
        </w:tc>
        <w:tc>
          <w:tcPr>
            <w:tcW w:w="1418" w:type="dxa"/>
            <w:vAlign w:val="center"/>
          </w:tcPr>
          <w:p w14:paraId="1F586DE4" w14:textId="77777777" w:rsidR="005C6D78" w:rsidRPr="005C6D78" w:rsidRDefault="005C6D78" w:rsidP="00291B87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6D78">
              <w:rPr>
                <w:rFonts w:ascii="Verdana" w:hAnsi="Verdana"/>
                <w:b/>
                <w:sz w:val="16"/>
                <w:szCs w:val="16"/>
              </w:rPr>
              <w:t>Niski</w:t>
            </w:r>
          </w:p>
        </w:tc>
      </w:tr>
      <w:tr w:rsidR="005C6D78" w:rsidRPr="005C6D78" w14:paraId="7637DDC8" w14:textId="77777777" w:rsidTr="00394D1B">
        <w:trPr>
          <w:trHeight w:val="315"/>
          <w:jc w:val="center"/>
        </w:trPr>
        <w:tc>
          <w:tcPr>
            <w:tcW w:w="3777" w:type="dxa"/>
          </w:tcPr>
          <w:p w14:paraId="2C1B8D6B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Wysoki (AAA-A)</w:t>
            </w:r>
          </w:p>
        </w:tc>
        <w:tc>
          <w:tcPr>
            <w:tcW w:w="1559" w:type="dxa"/>
            <w:vAlign w:val="center"/>
          </w:tcPr>
          <w:p w14:paraId="380D06E2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559" w:type="dxa"/>
            <w:vAlign w:val="center"/>
          </w:tcPr>
          <w:p w14:paraId="66CDCABD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418" w:type="dxa"/>
            <w:vAlign w:val="center"/>
          </w:tcPr>
          <w:p w14:paraId="7FE7AF2A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5C6D78" w:rsidRPr="005C6D78" w14:paraId="059D351C" w14:textId="77777777" w:rsidTr="00394D1B">
        <w:trPr>
          <w:trHeight w:val="164"/>
          <w:jc w:val="center"/>
        </w:trPr>
        <w:tc>
          <w:tcPr>
            <w:tcW w:w="3777" w:type="dxa"/>
          </w:tcPr>
          <w:p w14:paraId="584447DA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Dobry (BBB)</w:t>
            </w:r>
          </w:p>
        </w:tc>
        <w:tc>
          <w:tcPr>
            <w:tcW w:w="1559" w:type="dxa"/>
            <w:vAlign w:val="center"/>
          </w:tcPr>
          <w:p w14:paraId="4E855C52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559" w:type="dxa"/>
            <w:vAlign w:val="center"/>
          </w:tcPr>
          <w:p w14:paraId="6D33A5BB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14:paraId="7169DF02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220</w:t>
            </w:r>
          </w:p>
        </w:tc>
      </w:tr>
      <w:tr w:rsidR="005C6D78" w:rsidRPr="005C6D78" w14:paraId="2017E314" w14:textId="77777777" w:rsidTr="00394D1B">
        <w:trPr>
          <w:trHeight w:val="149"/>
          <w:jc w:val="center"/>
        </w:trPr>
        <w:tc>
          <w:tcPr>
            <w:tcW w:w="3777" w:type="dxa"/>
          </w:tcPr>
          <w:p w14:paraId="7B0B1D81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Zadowalający (BB)</w:t>
            </w:r>
          </w:p>
        </w:tc>
        <w:tc>
          <w:tcPr>
            <w:tcW w:w="1559" w:type="dxa"/>
            <w:vAlign w:val="center"/>
          </w:tcPr>
          <w:p w14:paraId="7477CFC0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14:paraId="3369FC8D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1418" w:type="dxa"/>
            <w:vAlign w:val="center"/>
          </w:tcPr>
          <w:p w14:paraId="040A742F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400</w:t>
            </w:r>
          </w:p>
        </w:tc>
      </w:tr>
      <w:tr w:rsidR="005C6D78" w:rsidRPr="005C6D78" w14:paraId="617CF1C1" w14:textId="77777777" w:rsidTr="00394D1B">
        <w:trPr>
          <w:trHeight w:val="225"/>
          <w:jc w:val="center"/>
        </w:trPr>
        <w:tc>
          <w:tcPr>
            <w:tcW w:w="3777" w:type="dxa"/>
          </w:tcPr>
          <w:p w14:paraId="4F6F2BFD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Niski (B)</w:t>
            </w:r>
          </w:p>
        </w:tc>
        <w:tc>
          <w:tcPr>
            <w:tcW w:w="1559" w:type="dxa"/>
            <w:vAlign w:val="center"/>
          </w:tcPr>
          <w:p w14:paraId="76F76BD0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1559" w:type="dxa"/>
            <w:vAlign w:val="center"/>
          </w:tcPr>
          <w:p w14:paraId="0CF001C7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418" w:type="dxa"/>
            <w:vAlign w:val="center"/>
          </w:tcPr>
          <w:p w14:paraId="6E80E277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650</w:t>
            </w:r>
          </w:p>
        </w:tc>
      </w:tr>
      <w:tr w:rsidR="005C6D78" w:rsidRPr="005C6D78" w14:paraId="1BF0EB9B" w14:textId="77777777" w:rsidTr="00394D1B">
        <w:trPr>
          <w:trHeight w:val="225"/>
          <w:jc w:val="center"/>
        </w:trPr>
        <w:tc>
          <w:tcPr>
            <w:tcW w:w="3777" w:type="dxa"/>
          </w:tcPr>
          <w:p w14:paraId="11536324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Zły/Trudności finansowe (CCC i poniżej)</w:t>
            </w:r>
          </w:p>
        </w:tc>
        <w:tc>
          <w:tcPr>
            <w:tcW w:w="1559" w:type="dxa"/>
            <w:vAlign w:val="center"/>
          </w:tcPr>
          <w:p w14:paraId="470F1061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559" w:type="dxa"/>
            <w:vAlign w:val="center"/>
          </w:tcPr>
          <w:p w14:paraId="27F42AD6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650</w:t>
            </w:r>
          </w:p>
        </w:tc>
        <w:tc>
          <w:tcPr>
            <w:tcW w:w="1418" w:type="dxa"/>
            <w:vAlign w:val="center"/>
          </w:tcPr>
          <w:p w14:paraId="5D1C2629" w14:textId="77777777" w:rsidR="005C6D78" w:rsidRPr="005C6D78" w:rsidRDefault="005C6D78" w:rsidP="00291B87">
            <w:pPr>
              <w:pStyle w:val="Akapitzlist"/>
              <w:spacing w:after="120" w:line="240" w:lineRule="auto"/>
              <w:ind w:left="37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C6D78">
              <w:rPr>
                <w:rFonts w:ascii="Verdana" w:hAnsi="Verdana"/>
                <w:sz w:val="16"/>
                <w:szCs w:val="16"/>
              </w:rPr>
              <w:t>1000</w:t>
            </w:r>
          </w:p>
        </w:tc>
      </w:tr>
    </w:tbl>
    <w:p w14:paraId="72A2836F" w14:textId="77777777" w:rsidR="005C6D78" w:rsidRPr="005C6D78" w:rsidRDefault="005C6D78" w:rsidP="00291B87">
      <w:pPr>
        <w:spacing w:after="120" w:line="240" w:lineRule="auto"/>
        <w:ind w:left="708" w:right="141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Pod pojęciem „standardowy poziom zabezpieczeń” należy rozumieć poziom zabezpieczeń, jakiego zwyczajowo wymagają instytucje finansowe z tytułu gwarancji dla udzielanych kredytów. </w:t>
      </w:r>
    </w:p>
    <w:p w14:paraId="0B6B4DD5" w14:textId="5939A4F3" w:rsidR="00394D1B" w:rsidRDefault="005C6D78" w:rsidP="00291B87">
      <w:pPr>
        <w:spacing w:after="120" w:line="240" w:lineRule="auto"/>
        <w:ind w:left="708" w:right="141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Poziom zabezpieczeń może być mierzony jako strata z tytułu niewywiązywania się z płatności (ang. </w:t>
      </w:r>
      <w:proofErr w:type="spellStart"/>
      <w:r w:rsidRPr="005C6D78">
        <w:rPr>
          <w:rFonts w:ascii="Verdana" w:hAnsi="Verdana"/>
          <w:sz w:val="16"/>
          <w:szCs w:val="16"/>
        </w:rPr>
        <w:t>Loss</w:t>
      </w:r>
      <w:proofErr w:type="spellEnd"/>
      <w:r w:rsidRPr="005C6D78">
        <w:rPr>
          <w:rFonts w:ascii="Verdana" w:hAnsi="Verdana"/>
          <w:sz w:val="16"/>
          <w:szCs w:val="16"/>
        </w:rPr>
        <w:t xml:space="preserve"> </w:t>
      </w:r>
      <w:proofErr w:type="spellStart"/>
      <w:r w:rsidRPr="005C6D78">
        <w:rPr>
          <w:rFonts w:ascii="Verdana" w:hAnsi="Verdana"/>
          <w:sz w:val="16"/>
          <w:szCs w:val="16"/>
        </w:rPr>
        <w:t>Given</w:t>
      </w:r>
      <w:proofErr w:type="spellEnd"/>
      <w:r w:rsidRPr="005C6D78">
        <w:rPr>
          <w:rFonts w:ascii="Verdana" w:hAnsi="Verdana"/>
          <w:sz w:val="16"/>
          <w:szCs w:val="16"/>
        </w:rPr>
        <w:t xml:space="preserve"> </w:t>
      </w:r>
      <w:proofErr w:type="spellStart"/>
      <w:r w:rsidRPr="005C6D78">
        <w:rPr>
          <w:rFonts w:ascii="Verdana" w:hAnsi="Verdana"/>
          <w:sz w:val="16"/>
          <w:szCs w:val="16"/>
        </w:rPr>
        <w:t>Default</w:t>
      </w:r>
      <w:proofErr w:type="spellEnd"/>
      <w:r w:rsidRPr="005C6D78">
        <w:rPr>
          <w:rFonts w:ascii="Verdana" w:hAnsi="Verdana"/>
          <w:sz w:val="16"/>
          <w:szCs w:val="16"/>
        </w:rPr>
        <w:t xml:space="preserve"> — LGD), czyli oczekiwana, wyrażona w procentach strata w łącznej kwocie kredytu dłużnika, przy uwzględnieniu możliwych do odzyskania kwot pochodzących z zabezpieczeń i masy upadłościowej; w konsekwencji LGD </w:t>
      </w:r>
      <w:r w:rsidR="00E603A6">
        <w:rPr>
          <w:rFonts w:ascii="Verdana" w:hAnsi="Verdana"/>
          <w:sz w:val="16"/>
          <w:szCs w:val="16"/>
        </w:rPr>
        <w:t xml:space="preserve">                       </w:t>
      </w:r>
      <w:r w:rsidRPr="005C6D78">
        <w:rPr>
          <w:rFonts w:ascii="Verdana" w:hAnsi="Verdana"/>
          <w:sz w:val="16"/>
          <w:szCs w:val="16"/>
        </w:rPr>
        <w:t>jest odwrotnie proporcjonalne do ważności zabezpieczeń.</w:t>
      </w:r>
    </w:p>
    <w:p w14:paraId="6D8C3C9B" w14:textId="271BC39D" w:rsidR="00394D1B" w:rsidRDefault="005C6D78" w:rsidP="00291B87">
      <w:pPr>
        <w:spacing w:after="120" w:line="240" w:lineRule="auto"/>
        <w:ind w:left="708" w:right="141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Dla potrzeb komunikatu przyjęto założenie, że „wysoki” poziom zabezpieczeń oznacza LGD nieprzekraczające 30 %, „standardowy” poziom zabezpieczeń — LGD między 31 % a 59 %, a „niski” poziom zabezpieczeń — LGD</w:t>
      </w:r>
      <w:r w:rsidR="00394D1B">
        <w:rPr>
          <w:rFonts w:ascii="Verdana" w:hAnsi="Verdana"/>
          <w:sz w:val="16"/>
          <w:szCs w:val="16"/>
        </w:rPr>
        <w:t xml:space="preserve"> </w:t>
      </w:r>
      <w:r w:rsidRPr="005C6D78">
        <w:rPr>
          <w:rFonts w:ascii="Verdana" w:hAnsi="Verdana"/>
          <w:sz w:val="16"/>
          <w:szCs w:val="16"/>
        </w:rPr>
        <w:t xml:space="preserve">przekraczające lub równe 60 %. </w:t>
      </w:r>
    </w:p>
    <w:p w14:paraId="7B20A7DA" w14:textId="4716A988" w:rsidR="00394D1B" w:rsidRDefault="005C6D78" w:rsidP="00291B87">
      <w:pPr>
        <w:spacing w:after="120" w:line="240" w:lineRule="auto"/>
        <w:ind w:left="708" w:right="141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W odniesieniu do kredytobiorców, którzy nie mają historii kredytowej lub ratingu opartego o podejście bilansowe,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jak niektóre spółki specjalnego przeznaczenia lub nowoutworzone przedsiębiorstwa, stopa bazowa powinna </w:t>
      </w:r>
      <w:r w:rsidR="00E603A6">
        <w:rPr>
          <w:rFonts w:ascii="Verdana" w:hAnsi="Verdana"/>
          <w:sz w:val="16"/>
          <w:szCs w:val="16"/>
        </w:rPr>
        <w:t xml:space="preserve">             </w:t>
      </w:r>
      <w:r w:rsidRPr="005C6D78">
        <w:rPr>
          <w:rFonts w:ascii="Verdana" w:hAnsi="Verdana"/>
          <w:sz w:val="16"/>
          <w:szCs w:val="16"/>
        </w:rPr>
        <w:t xml:space="preserve">być zwiększona o przynajmniej 400 punktów bazowych (zależnie od dostępnych zabezpieczeń), a marża nigdy </w:t>
      </w:r>
      <w:r w:rsidR="00E603A6">
        <w:rPr>
          <w:rFonts w:ascii="Verdana" w:hAnsi="Verdana"/>
          <w:sz w:val="16"/>
          <w:szCs w:val="16"/>
        </w:rPr>
        <w:t xml:space="preserve">                </w:t>
      </w:r>
      <w:r w:rsidRPr="005C6D78">
        <w:rPr>
          <w:rFonts w:ascii="Verdana" w:hAnsi="Verdana"/>
          <w:sz w:val="16"/>
          <w:szCs w:val="16"/>
        </w:rPr>
        <w:t>nie może być niższa niż marża, która zostałaby zastosowana w odniesieniu do spółki dominującej.</w:t>
      </w:r>
    </w:p>
    <w:p w14:paraId="4FC1063E" w14:textId="09AE347F" w:rsidR="005C6D78" w:rsidRPr="005C6D78" w:rsidRDefault="005C6D78" w:rsidP="00291B87">
      <w:pPr>
        <w:spacing w:after="120" w:line="240" w:lineRule="auto"/>
        <w:ind w:left="708" w:right="141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Rating nie musi pochodzić z konkretnych agencji ratingowych — akceptowane są również krajowe systemy ratingowe lub systemy ratingowe stosowane przez banki w celu odzwierciedlenia wskaźników niewypłacalności.</w:t>
      </w:r>
    </w:p>
    <w:p w14:paraId="3B194939" w14:textId="77777777" w:rsidR="005C6D78" w:rsidRPr="005C6D78" w:rsidRDefault="005C6D78" w:rsidP="00AD1021">
      <w:pPr>
        <w:pStyle w:val="Akapitzlist"/>
        <w:numPr>
          <w:ilvl w:val="0"/>
          <w:numId w:val="31"/>
        </w:numPr>
        <w:tabs>
          <w:tab w:val="num" w:pos="426"/>
        </w:tabs>
        <w:spacing w:after="0" w:line="240" w:lineRule="auto"/>
        <w:ind w:left="723"/>
        <w:jc w:val="both"/>
        <w:rPr>
          <w:rFonts w:ascii="Verdana" w:hAnsi="Verdana"/>
          <w:b/>
          <w:sz w:val="16"/>
          <w:szCs w:val="16"/>
        </w:rPr>
      </w:pPr>
      <w:r w:rsidRPr="005C6D78">
        <w:rPr>
          <w:rFonts w:ascii="Verdana" w:hAnsi="Verdana"/>
          <w:b/>
          <w:sz w:val="16"/>
          <w:szCs w:val="16"/>
        </w:rPr>
        <w:t>wyłącznie na warunkach korzystniejszych niż rynkowe w przypadku:</w:t>
      </w:r>
    </w:p>
    <w:p w14:paraId="541ADB3C" w14:textId="08D31572" w:rsidR="005C6D78" w:rsidRPr="005C6D78" w:rsidRDefault="005C6D78" w:rsidP="00AD1021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inwestycji w przedsięwzięcia w ramach inteligentnych specjalizacji w kontekście Regionalnej Strategii Innowacji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dla Wielkopolski na lata 2015-2020</w:t>
      </w:r>
      <w:r w:rsidR="008502D5">
        <w:rPr>
          <w:rFonts w:ascii="Verdana" w:hAnsi="Verdana"/>
          <w:sz w:val="16"/>
          <w:szCs w:val="16"/>
        </w:rPr>
        <w:t>,</w:t>
      </w:r>
      <w:r w:rsidRPr="005C6D78">
        <w:rPr>
          <w:rFonts w:ascii="Verdana" w:hAnsi="Verdana"/>
          <w:sz w:val="16"/>
          <w:szCs w:val="16"/>
        </w:rPr>
        <w:t xml:space="preserve"> </w:t>
      </w:r>
      <w:r w:rsidR="008502D5" w:rsidRPr="00ED4D23">
        <w:rPr>
          <w:rFonts w:ascii="Verdana" w:hAnsi="Verdana"/>
          <w:sz w:val="16"/>
          <w:szCs w:val="16"/>
        </w:rPr>
        <w:t xml:space="preserve">zgodnie z „Listą </w:t>
      </w:r>
      <w:r w:rsidR="008502D5" w:rsidRPr="00ED4D23">
        <w:rPr>
          <w:rFonts w:ascii="Verdana" w:hAnsi="Verdana" w:cs="Arial"/>
          <w:bCs/>
          <w:sz w:val="16"/>
          <w:szCs w:val="16"/>
        </w:rPr>
        <w:t xml:space="preserve">sekcji PKD przyporządkowanych do obszarów inteligentnych specjalizacji </w:t>
      </w:r>
      <w:r w:rsidR="008502D5" w:rsidRPr="00ED4D23">
        <w:rPr>
          <w:rFonts w:ascii="Verdana" w:hAnsi="Verdana"/>
          <w:sz w:val="16"/>
          <w:szCs w:val="16"/>
        </w:rPr>
        <w:t xml:space="preserve">w </w:t>
      </w:r>
      <w:r w:rsidR="008502D5" w:rsidRPr="00ED4D23">
        <w:rPr>
          <w:rFonts w:ascii="Verdana" w:hAnsi="Verdana" w:cs="Arial"/>
          <w:bCs/>
          <w:sz w:val="16"/>
          <w:szCs w:val="16"/>
        </w:rPr>
        <w:t>województwie wielkopolskim”</w:t>
      </w:r>
      <w:r w:rsidRPr="005C6D78">
        <w:rPr>
          <w:rFonts w:ascii="Verdana" w:hAnsi="Verdana"/>
          <w:sz w:val="16"/>
          <w:szCs w:val="16"/>
        </w:rPr>
        <w:t>;</w:t>
      </w:r>
    </w:p>
    <w:p w14:paraId="25596A3C" w14:textId="77777777" w:rsidR="005C6D78" w:rsidRPr="005C6D78" w:rsidRDefault="005C6D78" w:rsidP="00AD1021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inwestycji w Start </w:t>
      </w:r>
      <w:proofErr w:type="spellStart"/>
      <w:r w:rsidRPr="005C6D78">
        <w:rPr>
          <w:rFonts w:ascii="Verdana" w:hAnsi="Verdana"/>
          <w:sz w:val="16"/>
          <w:szCs w:val="16"/>
        </w:rPr>
        <w:t>up’y</w:t>
      </w:r>
      <w:proofErr w:type="spellEnd"/>
      <w:r w:rsidRPr="005C6D78">
        <w:rPr>
          <w:rFonts w:ascii="Verdana" w:hAnsi="Verdana"/>
          <w:sz w:val="16"/>
          <w:szCs w:val="16"/>
        </w:rPr>
        <w:t>;</w:t>
      </w:r>
    </w:p>
    <w:p w14:paraId="724D46AD" w14:textId="77777777" w:rsidR="005C6D78" w:rsidRPr="005C6D78" w:rsidRDefault="005C6D78" w:rsidP="00AD1021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inwestycji w Mikroprzedsiębiorstwa;</w:t>
      </w:r>
    </w:p>
    <w:p w14:paraId="199D549C" w14:textId="0F6FB77C" w:rsidR="005C6D78" w:rsidRPr="005C6D78" w:rsidRDefault="005C6D78" w:rsidP="00AD1021">
      <w:pPr>
        <w:numPr>
          <w:ilvl w:val="0"/>
          <w:numId w:val="33"/>
        </w:numPr>
        <w:tabs>
          <w:tab w:val="num" w:pos="42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inwestycji w przedsięwzięcia realizowane w ramach Wiejskich obszarów funkcjonalnych wymagających wsparcia procesów rozwojowych</w:t>
      </w:r>
      <w:r w:rsidR="008502D5">
        <w:rPr>
          <w:rFonts w:ascii="Verdana" w:hAnsi="Verdana"/>
          <w:sz w:val="16"/>
          <w:szCs w:val="16"/>
        </w:rPr>
        <w:t>,</w:t>
      </w:r>
      <w:r w:rsidR="008502D5" w:rsidRPr="008502D5">
        <w:rPr>
          <w:rFonts w:ascii="Verdana" w:hAnsi="Verdana"/>
          <w:sz w:val="16"/>
          <w:szCs w:val="16"/>
        </w:rPr>
        <w:t xml:space="preserve"> </w:t>
      </w:r>
      <w:r w:rsidR="008502D5" w:rsidRPr="00ED4D23">
        <w:rPr>
          <w:rFonts w:ascii="Verdana" w:hAnsi="Verdana"/>
          <w:sz w:val="16"/>
          <w:szCs w:val="16"/>
        </w:rPr>
        <w:t>zgodnie z „Wykazem Wiejskich obszarów funkcjonalnych wymagających wsparcia procesów rozwojowych w województwie wielkopolskim”,</w:t>
      </w:r>
    </w:p>
    <w:p w14:paraId="42A7F05B" w14:textId="1D2FFF2C" w:rsidR="005C6D78" w:rsidRPr="00394D1B" w:rsidRDefault="005C6D78" w:rsidP="00AD1021">
      <w:pPr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5C6D78">
        <w:rPr>
          <w:rFonts w:ascii="Verdana" w:hAnsi="Verdana"/>
          <w:color w:val="000000" w:themeColor="text1"/>
          <w:sz w:val="16"/>
          <w:szCs w:val="16"/>
        </w:rPr>
        <w:t>przedsięwzięć przyczyniających się do przeciwdziałania epidemii COVID-19, o których mowa w pkt</w:t>
      </w:r>
      <w:r w:rsidR="00644BA7">
        <w:rPr>
          <w:rFonts w:ascii="Verdana" w:hAnsi="Verdana"/>
          <w:color w:val="000000" w:themeColor="text1"/>
          <w:sz w:val="16"/>
          <w:szCs w:val="16"/>
        </w:rPr>
        <w:t>.</w:t>
      </w:r>
      <w:r w:rsidRPr="005C6D78">
        <w:rPr>
          <w:rFonts w:ascii="Verdana" w:hAnsi="Verdana"/>
          <w:color w:val="000000" w:themeColor="text1"/>
          <w:sz w:val="16"/>
          <w:szCs w:val="16"/>
        </w:rPr>
        <w:t xml:space="preserve"> III.2., </w:t>
      </w:r>
    </w:p>
    <w:p w14:paraId="3FBCA34F" w14:textId="48524769" w:rsidR="005C6D78" w:rsidRPr="005C6D78" w:rsidRDefault="005C6D78" w:rsidP="00AD1021">
      <w:pPr>
        <w:tabs>
          <w:tab w:val="num" w:pos="426"/>
        </w:tabs>
        <w:spacing w:after="0" w:line="240" w:lineRule="auto"/>
        <w:ind w:left="789" w:hanging="426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       zgodnie z zasadami udzielania pomocy de </w:t>
      </w:r>
      <w:proofErr w:type="spellStart"/>
      <w:r w:rsidRPr="005C6D78">
        <w:rPr>
          <w:rFonts w:ascii="Verdana" w:hAnsi="Verdana"/>
          <w:sz w:val="16"/>
          <w:szCs w:val="16"/>
        </w:rPr>
        <w:t>minimis</w:t>
      </w:r>
      <w:proofErr w:type="spellEnd"/>
      <w:r w:rsidRPr="005C6D78">
        <w:rPr>
          <w:rFonts w:ascii="Verdana" w:hAnsi="Verdana"/>
          <w:sz w:val="16"/>
          <w:szCs w:val="16"/>
        </w:rPr>
        <w:t xml:space="preserve">, o których mowa w Rozporządzeniu Komisji  (UE) nr 1407/2013 </w:t>
      </w:r>
      <w:r w:rsidR="00394D1B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z dnia 18 grudnia 2013 r. w sprawie stosowania art. 107 i 108 Traktatu o funkcjonowaniu Unii Europejskiej do pomocy de </w:t>
      </w:r>
      <w:proofErr w:type="spellStart"/>
      <w:r w:rsidRPr="005C6D78">
        <w:rPr>
          <w:rFonts w:ascii="Verdana" w:hAnsi="Verdana"/>
          <w:sz w:val="16"/>
          <w:szCs w:val="16"/>
        </w:rPr>
        <w:t>minimis</w:t>
      </w:r>
      <w:proofErr w:type="spellEnd"/>
      <w:r w:rsidRPr="005C6D78">
        <w:rPr>
          <w:rFonts w:ascii="Verdana" w:hAnsi="Verdana"/>
          <w:sz w:val="16"/>
          <w:szCs w:val="16"/>
        </w:rPr>
        <w:t xml:space="preserve"> oraz Rozporządzeniu Ministra Infrastruktury i Rozwoju z dnia 19 marca 2015 r. w sprawie udzielania </w:t>
      </w:r>
      <w:r w:rsidRPr="005C6D78">
        <w:rPr>
          <w:rFonts w:ascii="Verdana" w:hAnsi="Verdana"/>
          <w:sz w:val="16"/>
          <w:szCs w:val="16"/>
        </w:rPr>
        <w:lastRenderedPageBreak/>
        <w:t xml:space="preserve">pomocy de </w:t>
      </w:r>
      <w:proofErr w:type="spellStart"/>
      <w:r w:rsidRPr="005C6D78">
        <w:rPr>
          <w:rFonts w:ascii="Verdana" w:hAnsi="Verdana"/>
          <w:sz w:val="16"/>
          <w:szCs w:val="16"/>
        </w:rPr>
        <w:t>minimis</w:t>
      </w:r>
      <w:proofErr w:type="spellEnd"/>
      <w:r w:rsidRPr="005C6D78">
        <w:rPr>
          <w:rFonts w:ascii="Verdana" w:hAnsi="Verdana"/>
          <w:sz w:val="16"/>
          <w:szCs w:val="16"/>
        </w:rPr>
        <w:t xml:space="preserve"> w ramach regionalnych programów operacyjnych na lata 2014–2020 (Dz.U. 2015 poz. 488 </w:t>
      </w:r>
      <w:r w:rsidR="00E603A6">
        <w:rPr>
          <w:rFonts w:ascii="Verdana" w:hAnsi="Verdana"/>
          <w:sz w:val="16"/>
          <w:szCs w:val="16"/>
        </w:rPr>
        <w:t xml:space="preserve">           </w:t>
      </w:r>
      <w:r w:rsidRPr="005C6D78">
        <w:rPr>
          <w:rFonts w:ascii="Verdana" w:hAnsi="Verdana"/>
          <w:sz w:val="16"/>
          <w:szCs w:val="16"/>
        </w:rPr>
        <w:t xml:space="preserve">z </w:t>
      </w:r>
      <w:proofErr w:type="spellStart"/>
      <w:r w:rsidRPr="005C6D78">
        <w:rPr>
          <w:rFonts w:ascii="Verdana" w:hAnsi="Verdana"/>
          <w:sz w:val="16"/>
          <w:szCs w:val="16"/>
        </w:rPr>
        <w:t>późn</w:t>
      </w:r>
      <w:proofErr w:type="spellEnd"/>
      <w:r w:rsidRPr="005C6D78">
        <w:rPr>
          <w:rFonts w:ascii="Verdana" w:hAnsi="Verdana"/>
          <w:sz w:val="16"/>
          <w:szCs w:val="16"/>
        </w:rPr>
        <w:t>.  zmianami), przy czym:</w:t>
      </w:r>
    </w:p>
    <w:p w14:paraId="22EE90B0" w14:textId="178A6EC6" w:rsidR="00394D1B" w:rsidRPr="00394D1B" w:rsidRDefault="005C6D78" w:rsidP="00AD1021">
      <w:pPr>
        <w:pStyle w:val="Akapitzlist"/>
        <w:numPr>
          <w:ilvl w:val="1"/>
          <w:numId w:val="26"/>
        </w:numPr>
        <w:tabs>
          <w:tab w:val="num" w:pos="426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 xml:space="preserve">oprocentowanie Pożyczki udzielanej na warunkach korzystniejszych niż rynkowe jest stałe w całym okresie </w:t>
      </w:r>
      <w:r w:rsidR="00E603A6">
        <w:rPr>
          <w:rFonts w:ascii="Verdana" w:hAnsi="Verdana"/>
          <w:sz w:val="16"/>
          <w:szCs w:val="16"/>
        </w:rPr>
        <w:t xml:space="preserve">          </w:t>
      </w:r>
      <w:r w:rsidRPr="00394D1B">
        <w:rPr>
          <w:rFonts w:ascii="Verdana" w:hAnsi="Verdana"/>
          <w:sz w:val="16"/>
          <w:szCs w:val="16"/>
        </w:rPr>
        <w:t xml:space="preserve">jej obowiązywania i  jest równe  wysokości </w:t>
      </w:r>
      <w:r w:rsidRPr="00DD5915">
        <w:rPr>
          <w:rFonts w:ascii="Verdana" w:hAnsi="Verdana"/>
          <w:sz w:val="16"/>
          <w:szCs w:val="16"/>
        </w:rPr>
        <w:t>stopy</w:t>
      </w:r>
      <w:r w:rsidRPr="00394D1B">
        <w:rPr>
          <w:rFonts w:ascii="Verdana" w:hAnsi="Verdana"/>
          <w:b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 xml:space="preserve">referencyjnej  obliczonej dla danego MŚP, pomniejszonej </w:t>
      </w:r>
      <w:r w:rsidR="00412659">
        <w:rPr>
          <w:rFonts w:ascii="Verdana" w:hAnsi="Verdana"/>
          <w:sz w:val="16"/>
          <w:szCs w:val="16"/>
        </w:rPr>
        <w:br/>
      </w:r>
      <w:r w:rsidRPr="00394D1B">
        <w:rPr>
          <w:rFonts w:ascii="Verdana" w:hAnsi="Verdana"/>
          <w:sz w:val="16"/>
          <w:szCs w:val="16"/>
        </w:rPr>
        <w:t xml:space="preserve">o 1  punkt procentowy, ale nie niższe niż wysokość stopy bazowej z dnia zawarcia Umowy Inwestycyjnej, </w:t>
      </w:r>
      <w:r w:rsidR="00412659">
        <w:rPr>
          <w:rFonts w:ascii="Verdana" w:hAnsi="Verdana"/>
          <w:sz w:val="16"/>
          <w:szCs w:val="16"/>
        </w:rPr>
        <w:br/>
      </w:r>
      <w:r w:rsidRPr="00394D1B">
        <w:rPr>
          <w:rFonts w:ascii="Verdana" w:hAnsi="Verdana"/>
          <w:sz w:val="16"/>
          <w:szCs w:val="16"/>
        </w:rPr>
        <w:t>z zastrzeżeniem lit. b poniżej;</w:t>
      </w:r>
    </w:p>
    <w:p w14:paraId="07032975" w14:textId="0C5E9108" w:rsidR="005C6D78" w:rsidRPr="00394D1B" w:rsidRDefault="005C6D78" w:rsidP="00DD5915">
      <w:pPr>
        <w:pStyle w:val="Akapitzlist"/>
        <w:numPr>
          <w:ilvl w:val="1"/>
          <w:numId w:val="26"/>
        </w:numPr>
        <w:tabs>
          <w:tab w:val="num" w:pos="426"/>
        </w:tabs>
        <w:spacing w:after="120" w:line="240" w:lineRule="auto"/>
        <w:ind w:left="1434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>oprocentowanie Pożyczki udzielanej MŚP w fazie start-</w:t>
      </w:r>
      <w:proofErr w:type="spellStart"/>
      <w:r w:rsidRPr="00394D1B">
        <w:rPr>
          <w:rFonts w:ascii="Verdana" w:hAnsi="Verdana"/>
          <w:sz w:val="16"/>
          <w:szCs w:val="16"/>
        </w:rPr>
        <w:t>up</w:t>
      </w:r>
      <w:proofErr w:type="spellEnd"/>
      <w:r w:rsidRPr="00394D1B">
        <w:rPr>
          <w:rFonts w:ascii="Verdana" w:hAnsi="Verdana"/>
          <w:sz w:val="16"/>
          <w:szCs w:val="16"/>
        </w:rPr>
        <w:t xml:space="preserve"> jest</w:t>
      </w:r>
      <w:r w:rsidRPr="00394D1B">
        <w:rPr>
          <w:rFonts w:ascii="Verdana" w:hAnsi="Verdana" w:cs="Times New Roman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>równe wysokości stopy bazowej z dnia  zawarcia Umowy Inwestycyjnej</w:t>
      </w:r>
      <w:r w:rsidRPr="00394D1B">
        <w:rPr>
          <w:rFonts w:ascii="Verdana" w:hAnsi="Verdana" w:cs="Times New Roman"/>
          <w:sz w:val="16"/>
          <w:szCs w:val="16"/>
        </w:rPr>
        <w:t xml:space="preserve"> i </w:t>
      </w:r>
      <w:r w:rsidRPr="00394D1B">
        <w:rPr>
          <w:rFonts w:ascii="Verdana" w:hAnsi="Verdana"/>
          <w:sz w:val="16"/>
          <w:szCs w:val="16"/>
        </w:rPr>
        <w:t>jest stałe w całym okresie jej obowiązywania</w:t>
      </w:r>
      <w:r w:rsidRPr="00394D1B">
        <w:rPr>
          <w:rFonts w:ascii="Verdana" w:hAnsi="Verdana"/>
          <w:iCs/>
          <w:sz w:val="16"/>
          <w:szCs w:val="16"/>
        </w:rPr>
        <w:t>.</w:t>
      </w:r>
    </w:p>
    <w:p w14:paraId="7AE08F25" w14:textId="0A4751AE" w:rsidR="00394D1B" w:rsidRPr="00412659" w:rsidRDefault="005C6D78" w:rsidP="00DD5915">
      <w:pPr>
        <w:pStyle w:val="Akapitzlist"/>
        <w:numPr>
          <w:ilvl w:val="0"/>
          <w:numId w:val="31"/>
        </w:numPr>
        <w:tabs>
          <w:tab w:val="num" w:pos="426"/>
        </w:tabs>
        <w:spacing w:after="120" w:line="240" w:lineRule="auto"/>
        <w:ind w:left="720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w przypadku Ostatecznych Odbiorców dotkniętych negatywnymi skutkami epidemii COVID-19, na ich uzasadniony wniosek, oprocentowanie może zostać ustalone na poziomie niższym niż w pkt. a i b  powyżej, o ile takie obniżenie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 xml:space="preserve">w danym przypadku jest dopuszczalne na podstawie przepisów regulujących zasady udzielania pomocy </w:t>
      </w:r>
      <w:r w:rsidRPr="005C6D78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5C6D78">
        <w:rPr>
          <w:rFonts w:ascii="Verdana" w:hAnsi="Verdana"/>
          <w:i/>
          <w:sz w:val="16"/>
          <w:szCs w:val="16"/>
        </w:rPr>
        <w:t>minimis</w:t>
      </w:r>
      <w:proofErr w:type="spellEnd"/>
      <w:r w:rsidRPr="005C6D78">
        <w:rPr>
          <w:rFonts w:ascii="Verdana" w:hAnsi="Verdana"/>
          <w:sz w:val="16"/>
          <w:szCs w:val="16"/>
        </w:rPr>
        <w:t xml:space="preserve">. Obniżenie oprocentowania może dotyczyć zarówno Pożyczek udzielonych przed, jak i po 20 marca 2020 r., </w:t>
      </w:r>
      <w:r w:rsidR="00412659">
        <w:rPr>
          <w:rFonts w:ascii="Verdana" w:hAnsi="Verdana"/>
          <w:sz w:val="16"/>
          <w:szCs w:val="16"/>
        </w:rPr>
        <w:br/>
      </w:r>
      <w:r w:rsidRPr="005C6D78">
        <w:rPr>
          <w:rFonts w:ascii="Verdana" w:hAnsi="Verdana"/>
          <w:sz w:val="16"/>
          <w:szCs w:val="16"/>
        </w:rPr>
        <w:t>ale nie</w:t>
      </w:r>
      <w:r w:rsidR="00412659">
        <w:rPr>
          <w:rFonts w:ascii="Verdana" w:hAnsi="Verdana"/>
          <w:sz w:val="16"/>
          <w:szCs w:val="16"/>
        </w:rPr>
        <w:t xml:space="preserve"> </w:t>
      </w:r>
      <w:r w:rsidRPr="00412659">
        <w:rPr>
          <w:rFonts w:ascii="Verdana" w:hAnsi="Verdana"/>
          <w:sz w:val="16"/>
          <w:szCs w:val="16"/>
        </w:rPr>
        <w:t>później niż do 3</w:t>
      </w:r>
      <w:r w:rsidR="00DD5915">
        <w:rPr>
          <w:rFonts w:ascii="Verdana" w:hAnsi="Verdana"/>
          <w:sz w:val="16"/>
          <w:szCs w:val="16"/>
        </w:rPr>
        <w:t>0 czerwca 2021 r</w:t>
      </w:r>
      <w:r w:rsidR="006113C4">
        <w:rPr>
          <w:rFonts w:ascii="Verdana" w:hAnsi="Verdana"/>
          <w:sz w:val="16"/>
          <w:szCs w:val="16"/>
        </w:rPr>
        <w:t>oku</w:t>
      </w:r>
      <w:r w:rsidR="00DD5915">
        <w:rPr>
          <w:rFonts w:ascii="Verdana" w:hAnsi="Verdana"/>
          <w:sz w:val="16"/>
          <w:szCs w:val="16"/>
        </w:rPr>
        <w:t>.</w:t>
      </w:r>
      <w:r w:rsidRPr="00412659">
        <w:rPr>
          <w:rFonts w:ascii="Verdana" w:hAnsi="Verdana"/>
          <w:sz w:val="16"/>
          <w:szCs w:val="16"/>
        </w:rPr>
        <w:t xml:space="preserve"> </w:t>
      </w:r>
    </w:p>
    <w:p w14:paraId="6242513D" w14:textId="2D58121F" w:rsidR="005C6D78" w:rsidRPr="00394D1B" w:rsidRDefault="005C6D78" w:rsidP="00DD5915">
      <w:pPr>
        <w:pStyle w:val="Akapitzlist"/>
        <w:numPr>
          <w:ilvl w:val="0"/>
          <w:numId w:val="31"/>
        </w:numPr>
        <w:tabs>
          <w:tab w:val="num" w:pos="426"/>
        </w:tabs>
        <w:spacing w:after="120" w:line="240" w:lineRule="auto"/>
        <w:ind w:left="720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394D1B">
        <w:rPr>
          <w:rFonts w:ascii="Verdana" w:hAnsi="Verdana"/>
          <w:sz w:val="16"/>
          <w:szCs w:val="16"/>
        </w:rPr>
        <w:t xml:space="preserve">na warunkach korzystniejszych niż rynkowe zgodnie z zasadami udzielania pomocy określonymi w Rozporządzeniu Ministra Funduszy i Polityki Regionalnej z dnia 14 kwietnia 2020 r. </w:t>
      </w:r>
      <w:r w:rsidR="00DD5915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DD5915">
        <w:rPr>
          <w:rFonts w:ascii="Verdana" w:hAnsi="Verdana"/>
          <w:bCs/>
          <w:sz w:val="16"/>
          <w:szCs w:val="16"/>
        </w:rPr>
        <w:t>późn</w:t>
      </w:r>
      <w:proofErr w:type="spellEnd"/>
      <w:r w:rsidR="00DD5915">
        <w:rPr>
          <w:rFonts w:ascii="Verdana" w:hAnsi="Verdana"/>
          <w:bCs/>
          <w:sz w:val="16"/>
          <w:szCs w:val="16"/>
        </w:rPr>
        <w:t>. zmianami</w:t>
      </w:r>
      <w:r w:rsidR="00DD5915" w:rsidRPr="00394D1B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 xml:space="preserve">w sprawie udzielania pomocy </w:t>
      </w:r>
      <w:r w:rsidR="00DD5915">
        <w:rPr>
          <w:rFonts w:ascii="Verdana" w:hAnsi="Verdana"/>
          <w:sz w:val="16"/>
          <w:szCs w:val="16"/>
        </w:rPr>
        <w:t xml:space="preserve">                    </w:t>
      </w:r>
      <w:r w:rsidRPr="00394D1B">
        <w:rPr>
          <w:rFonts w:ascii="Verdana" w:hAnsi="Verdana"/>
          <w:sz w:val="16"/>
          <w:szCs w:val="16"/>
        </w:rPr>
        <w:t>z instrumentów finansowych w ramach programów operacyjnych na lata 2014-2020 w celu wspierania polskiej gospodarki w związku</w:t>
      </w:r>
      <w:r w:rsidR="00DD5915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 xml:space="preserve">z wystąpieniem pandemii COVID-19 lub Rozporządzenia Ministra Funduszy i Polityki Regionalnej </w:t>
      </w:r>
      <w:r w:rsidR="00DD5915">
        <w:rPr>
          <w:rFonts w:ascii="Verdana" w:hAnsi="Verdana"/>
          <w:sz w:val="16"/>
          <w:szCs w:val="16"/>
        </w:rPr>
        <w:t xml:space="preserve">                 </w:t>
      </w:r>
      <w:r w:rsidRPr="00394D1B">
        <w:rPr>
          <w:rFonts w:ascii="Verdana" w:hAnsi="Verdana"/>
          <w:sz w:val="16"/>
          <w:szCs w:val="16"/>
        </w:rPr>
        <w:t xml:space="preserve">z dnia 26 maja 2020 r. </w:t>
      </w:r>
      <w:r w:rsidR="00DD5915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DD5915">
        <w:rPr>
          <w:rFonts w:ascii="Verdana" w:hAnsi="Verdana"/>
          <w:bCs/>
          <w:sz w:val="16"/>
          <w:szCs w:val="16"/>
        </w:rPr>
        <w:t>późn</w:t>
      </w:r>
      <w:proofErr w:type="spellEnd"/>
      <w:r w:rsidR="00DD5915">
        <w:rPr>
          <w:rFonts w:ascii="Verdana" w:hAnsi="Verdana"/>
          <w:bCs/>
          <w:sz w:val="16"/>
          <w:szCs w:val="16"/>
        </w:rPr>
        <w:t>. zmianami</w:t>
      </w:r>
      <w:r w:rsidR="00DD5915" w:rsidRPr="00394D1B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 xml:space="preserve">w sprawie udzielania pomocy w uproszczonej formie wsparcia zwrotnego </w:t>
      </w:r>
      <w:r w:rsidR="00DD5915">
        <w:rPr>
          <w:rFonts w:ascii="Verdana" w:hAnsi="Verdana"/>
          <w:sz w:val="16"/>
          <w:szCs w:val="16"/>
        </w:rPr>
        <w:t xml:space="preserve">                     </w:t>
      </w:r>
      <w:r w:rsidRPr="00394D1B">
        <w:rPr>
          <w:rFonts w:ascii="Verdana" w:hAnsi="Verdana"/>
          <w:sz w:val="16"/>
          <w:szCs w:val="16"/>
        </w:rPr>
        <w:t>ze środków instrumentów inżynierii finansowej podlegających ponownemu wykorzystaniu oraz z instrumentów</w:t>
      </w:r>
      <w:r w:rsidR="00DD5915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>finansowych w ramach programów operacyjnych</w:t>
      </w:r>
      <w:r w:rsidR="00DD5915">
        <w:rPr>
          <w:rFonts w:ascii="Verdana" w:hAnsi="Verdana"/>
          <w:sz w:val="16"/>
          <w:szCs w:val="16"/>
        </w:rPr>
        <w:t xml:space="preserve"> </w:t>
      </w:r>
      <w:r w:rsidRPr="00394D1B">
        <w:rPr>
          <w:rFonts w:ascii="Verdana" w:hAnsi="Verdana"/>
          <w:sz w:val="16"/>
          <w:szCs w:val="16"/>
        </w:rPr>
        <w:t xml:space="preserve">na lata 2014-2020 w celu wspierania polskiej gospodarki w związku </w:t>
      </w:r>
      <w:r w:rsidR="00DD5915">
        <w:rPr>
          <w:rFonts w:ascii="Verdana" w:hAnsi="Verdana"/>
          <w:sz w:val="16"/>
          <w:szCs w:val="16"/>
        </w:rPr>
        <w:t xml:space="preserve">                  </w:t>
      </w:r>
      <w:r w:rsidRPr="00394D1B">
        <w:rPr>
          <w:rFonts w:ascii="Verdana" w:hAnsi="Verdana"/>
          <w:sz w:val="16"/>
          <w:szCs w:val="16"/>
        </w:rPr>
        <w:t>z wystąpieniem pandemii COVID-19 .</w:t>
      </w:r>
    </w:p>
    <w:p w14:paraId="69BB2198" w14:textId="77777777" w:rsidR="00394D1B" w:rsidRDefault="005C6D78" w:rsidP="00291B87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 w:cs="Times New Roman"/>
          <w:sz w:val="16"/>
          <w:szCs w:val="16"/>
        </w:rPr>
        <w:t>W przypadku</w:t>
      </w:r>
      <w:r w:rsidRPr="005C6D78">
        <w:rPr>
          <w:rFonts w:ascii="Verdana" w:hAnsi="Verdana"/>
          <w:sz w:val="16"/>
          <w:szCs w:val="16"/>
        </w:rPr>
        <w:t xml:space="preserve"> niespełnienia przez Ostatecznego Odbiorcę jakiegokolwiek z warunków  umożliwiających udzielenie pomocy publicznej lub pomocy de </w:t>
      </w:r>
      <w:proofErr w:type="spellStart"/>
      <w:r w:rsidRPr="005C6D78">
        <w:rPr>
          <w:rFonts w:ascii="Verdana" w:hAnsi="Verdana"/>
          <w:sz w:val="16"/>
          <w:szCs w:val="16"/>
        </w:rPr>
        <w:t>minimis</w:t>
      </w:r>
      <w:proofErr w:type="spellEnd"/>
      <w:r w:rsidRPr="005C6D78">
        <w:rPr>
          <w:rFonts w:ascii="Verdana" w:hAnsi="Verdana"/>
          <w:sz w:val="16"/>
          <w:szCs w:val="16"/>
        </w:rPr>
        <w:t xml:space="preserve"> finansowanie jest udzielane na warunkach rynkowych. </w:t>
      </w:r>
    </w:p>
    <w:p w14:paraId="42D8B6F0" w14:textId="54ECB0CC" w:rsidR="005C6D78" w:rsidRPr="00394D1B" w:rsidRDefault="00C36E92" w:rsidP="00291B87">
      <w:pPr>
        <w:pStyle w:val="Akapitzlist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FUNDSZ </w:t>
      </w:r>
      <w:r w:rsidR="005C6D78" w:rsidRPr="00394D1B">
        <w:rPr>
          <w:rFonts w:ascii="Verdana" w:hAnsi="Verdana"/>
          <w:sz w:val="16"/>
          <w:szCs w:val="16"/>
        </w:rPr>
        <w:t>nie pobiera żadnych opłat i prowizji związanych z udzieleniem i obsługą Pożyczki. Powyższe nie dotyczy odrębnie uregulowanych czynności windykacyjnych.</w:t>
      </w:r>
    </w:p>
    <w:p w14:paraId="7B50A793" w14:textId="77777777" w:rsidR="00770EF8" w:rsidRPr="005C6D78" w:rsidRDefault="00770EF8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6039AC62" w14:textId="77777777" w:rsidR="00770EF8" w:rsidRPr="005C6D78" w:rsidRDefault="00770EF8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71CCF2FC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5E929ADE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394C1116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3C37A8AA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F9720B7" w14:textId="2A9ED905" w:rsidR="00EA59E4" w:rsidRPr="005C6D78" w:rsidRDefault="00291B87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03CEE2A7" w14:textId="77777777" w:rsidR="00EA59E4" w:rsidRPr="005C6D78" w:rsidRDefault="00B57AA9" w:rsidP="00291B8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>……………………………</w:t>
      </w:r>
      <w:r w:rsidR="00EA59E4" w:rsidRPr="005C6D78">
        <w:rPr>
          <w:rFonts w:ascii="Verdana" w:hAnsi="Verdana"/>
          <w:sz w:val="16"/>
          <w:szCs w:val="16"/>
        </w:rPr>
        <w:t>………………………………………………………</w:t>
      </w:r>
    </w:p>
    <w:p w14:paraId="32D9CFCD" w14:textId="259DF99E" w:rsidR="00EA59E4" w:rsidRPr="005C6D78" w:rsidRDefault="00B57AA9" w:rsidP="00291B8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   </w:t>
      </w:r>
      <w:r w:rsidR="00EA59E4" w:rsidRPr="005C6D78">
        <w:rPr>
          <w:rFonts w:ascii="Verdana" w:hAnsi="Verdana"/>
          <w:sz w:val="16"/>
          <w:szCs w:val="16"/>
        </w:rPr>
        <w:t>(pieczątka firmowa i podpis osoby/</w:t>
      </w:r>
      <w:r w:rsidR="00770EF8" w:rsidRPr="005C6D78">
        <w:rPr>
          <w:rFonts w:ascii="Verdana" w:hAnsi="Verdana"/>
          <w:sz w:val="16"/>
          <w:szCs w:val="16"/>
        </w:rPr>
        <w:t>podpisy osób</w:t>
      </w:r>
    </w:p>
    <w:p w14:paraId="6905A89D" w14:textId="02E6A43B" w:rsidR="00EA59E4" w:rsidRPr="005C6D78" w:rsidRDefault="00770EF8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     działającej/</w:t>
      </w:r>
      <w:r w:rsidR="00EA59E4" w:rsidRPr="005C6D78">
        <w:rPr>
          <w:rFonts w:ascii="Verdana" w:hAnsi="Verdana"/>
          <w:sz w:val="16"/>
          <w:szCs w:val="16"/>
        </w:rPr>
        <w:t>działających w imieniu FUNDUSZU)</w:t>
      </w:r>
    </w:p>
    <w:p w14:paraId="19227145" w14:textId="77777777" w:rsidR="00EA59E4" w:rsidRPr="005C6D78" w:rsidRDefault="00EA59E4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6EF4B7A9" w14:textId="3E4E6078" w:rsidR="00DD5915" w:rsidRDefault="00291B87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5FD7A5D9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6F024FE5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7401590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087EC17" w14:textId="77777777" w:rsidR="00DD5915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4978D95D" w14:textId="77777777" w:rsidR="00DD5915" w:rsidRPr="005C6D78" w:rsidRDefault="00DD5915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57349881" w14:textId="77777777" w:rsidR="00770EF8" w:rsidRPr="005C6D78" w:rsidRDefault="00770EF8" w:rsidP="00291B87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7CB5EB0" w14:textId="77777777" w:rsidR="00770EF8" w:rsidRPr="005C6D78" w:rsidRDefault="00770EF8" w:rsidP="00291B8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Oświadczam, iż zapoznałem się z treścią niniejszego dokumentu:                  ……………………………………………………………………………………          </w:t>
      </w:r>
    </w:p>
    <w:p w14:paraId="6FFC46E6" w14:textId="65370A74" w:rsidR="00770EF8" w:rsidRPr="005C6D78" w:rsidRDefault="00770EF8" w:rsidP="00291B8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(pieczątka firmowa i podpis osoby/podpisy osób</w:t>
      </w:r>
    </w:p>
    <w:p w14:paraId="3C38D1E7" w14:textId="29B23FD0" w:rsidR="00EA59E4" w:rsidRPr="005C6D78" w:rsidRDefault="00770EF8" w:rsidP="00291B8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C6D78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</w:t>
      </w:r>
      <w:r w:rsidR="00291B87">
        <w:rPr>
          <w:rFonts w:ascii="Verdana" w:hAnsi="Verdana"/>
          <w:sz w:val="16"/>
          <w:szCs w:val="16"/>
        </w:rPr>
        <w:t xml:space="preserve">                     </w:t>
      </w:r>
      <w:r w:rsidRPr="005C6D78">
        <w:rPr>
          <w:rFonts w:ascii="Verdana" w:hAnsi="Verdana"/>
          <w:sz w:val="16"/>
          <w:szCs w:val="16"/>
        </w:rPr>
        <w:t>działającej/działających w imieniu Pożyczkobiorcy)</w:t>
      </w:r>
    </w:p>
    <w:sectPr w:rsidR="00EA59E4" w:rsidRPr="005C6D78" w:rsidSect="005C00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426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AE7E5" w14:textId="77777777" w:rsidR="005E1C52" w:rsidRDefault="005E1C52" w:rsidP="00A76FE4">
      <w:pPr>
        <w:spacing w:after="0" w:line="240" w:lineRule="auto"/>
      </w:pPr>
      <w:r>
        <w:separator/>
      </w:r>
    </w:p>
  </w:endnote>
  <w:endnote w:type="continuationSeparator" w:id="0">
    <w:p w14:paraId="78012C13" w14:textId="77777777" w:rsidR="005E1C52" w:rsidRDefault="005E1C52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31DF" w14:textId="77777777" w:rsidR="00A76FE4" w:rsidRDefault="00A76FE4">
    <w:pPr>
      <w:pStyle w:val="Stopka"/>
    </w:pPr>
  </w:p>
  <w:p w14:paraId="056F0A49" w14:textId="77777777" w:rsidR="00A76FE4" w:rsidRDefault="005C005B" w:rsidP="005C005B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5FB10E" wp14:editId="0E1844F3">
          <wp:simplePos x="0" y="0"/>
          <wp:positionH relativeFrom="margin">
            <wp:posOffset>-358140</wp:posOffset>
          </wp:positionH>
          <wp:positionV relativeFrom="paragraph">
            <wp:posOffset>222885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ab/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E69B5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E69B5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9F68" w14:textId="77777777" w:rsidR="00A76FE4" w:rsidRDefault="005C005B" w:rsidP="005C005B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7A0D1" wp14:editId="4C1137FC">
          <wp:simplePos x="0" y="0"/>
          <wp:positionH relativeFrom="margin">
            <wp:posOffset>-348615</wp:posOffset>
          </wp:positionH>
          <wp:positionV relativeFrom="paragraph">
            <wp:posOffset>222885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ab/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E69B5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E69B5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6A8A" w14:textId="77777777" w:rsidR="005E1C52" w:rsidRDefault="005E1C52" w:rsidP="00A76FE4">
      <w:pPr>
        <w:spacing w:after="0" w:line="240" w:lineRule="auto"/>
      </w:pPr>
      <w:r>
        <w:separator/>
      </w:r>
    </w:p>
  </w:footnote>
  <w:footnote w:type="continuationSeparator" w:id="0">
    <w:p w14:paraId="476C6E51" w14:textId="77777777" w:rsidR="005E1C52" w:rsidRDefault="005E1C52" w:rsidP="00A76FE4">
      <w:pPr>
        <w:spacing w:after="0" w:line="240" w:lineRule="auto"/>
      </w:pPr>
      <w:r>
        <w:continuationSeparator/>
      </w:r>
    </w:p>
  </w:footnote>
  <w:footnote w:id="1">
    <w:p w14:paraId="0EEEE01E" w14:textId="5C66738A" w:rsidR="005C6D78" w:rsidRPr="00644BA7" w:rsidRDefault="005C6D78" w:rsidP="00644BA7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644BA7">
        <w:rPr>
          <w:rStyle w:val="Odwoanieprzypisudolnego"/>
          <w:rFonts w:ascii="Verdana" w:hAnsi="Verdana"/>
          <w:sz w:val="14"/>
          <w:szCs w:val="14"/>
        </w:rPr>
        <w:footnoteRef/>
      </w:r>
      <w:r w:rsidRPr="00644BA7">
        <w:rPr>
          <w:rFonts w:ascii="Verdana" w:hAnsi="Verdana"/>
          <w:sz w:val="14"/>
          <w:szCs w:val="14"/>
        </w:rPr>
        <w:t xml:space="preserve"> Obejmujące produkcję wyrobów służących zwalczaniu epidemii COVID-19, takich jak produkty lecznicze (w tym szczepionki) i terapie, </w:t>
      </w:r>
      <w:r w:rsidR="00412659" w:rsidRPr="00644BA7">
        <w:rPr>
          <w:rFonts w:ascii="Verdana" w:hAnsi="Verdana"/>
          <w:sz w:val="14"/>
          <w:szCs w:val="14"/>
        </w:rPr>
        <w:br/>
      </w:r>
      <w:r w:rsidRPr="00644BA7">
        <w:rPr>
          <w:rFonts w:ascii="Verdana" w:hAnsi="Verdana"/>
          <w:sz w:val="14"/>
          <w:szCs w:val="14"/>
        </w:rPr>
        <w:t xml:space="preserve">ich półprodukty, farmaceutyczne składniki czynne i surowce; wyrobów medycznych oraz sprzętu szpitalnego i medycznego </w:t>
      </w:r>
      <w:r w:rsidR="00412659" w:rsidRPr="00644BA7">
        <w:rPr>
          <w:rFonts w:ascii="Verdana" w:hAnsi="Verdana"/>
          <w:sz w:val="14"/>
          <w:szCs w:val="14"/>
        </w:rPr>
        <w:br/>
      </w:r>
      <w:r w:rsidRPr="00644BA7">
        <w:rPr>
          <w:rFonts w:ascii="Verdana" w:hAnsi="Verdana"/>
          <w:sz w:val="14"/>
          <w:szCs w:val="14"/>
        </w:rPr>
        <w:t xml:space="preserve">(w tym respiratorów, odzieży i sprzętu ochronnego, a także narzędzi diagnostycznych) oraz niezbędnych surowców; środków odkażających </w:t>
      </w:r>
      <w:r w:rsidR="00412659" w:rsidRPr="00644BA7">
        <w:rPr>
          <w:rFonts w:ascii="Verdana" w:hAnsi="Verdana"/>
          <w:sz w:val="14"/>
          <w:szCs w:val="14"/>
        </w:rPr>
        <w:br/>
      </w:r>
      <w:r w:rsidRPr="00644BA7">
        <w:rPr>
          <w:rFonts w:ascii="Verdana" w:hAnsi="Verdana"/>
          <w:sz w:val="14"/>
          <w:szCs w:val="14"/>
        </w:rPr>
        <w:t>i ich produktów pośrednich oraz surowców chemicznych niezbędnych do ich produkcji; narzędzi do gromadzenia/przetwarzania danych.</w:t>
      </w:r>
    </w:p>
  </w:footnote>
  <w:footnote w:id="2">
    <w:p w14:paraId="7D18AAF2" w14:textId="77777777" w:rsidR="005C6D78" w:rsidRPr="00291B87" w:rsidRDefault="005C6D78" w:rsidP="00644BA7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 w:rsidRPr="00644BA7">
        <w:rPr>
          <w:rStyle w:val="Odwoanieprzypisudolnego"/>
          <w:rFonts w:ascii="Verdana" w:hAnsi="Verdana"/>
          <w:sz w:val="14"/>
          <w:szCs w:val="14"/>
        </w:rPr>
        <w:footnoteRef/>
      </w:r>
      <w:r w:rsidRPr="00644BA7">
        <w:rPr>
          <w:rFonts w:ascii="Verdana" w:hAnsi="Verdana"/>
          <w:sz w:val="14"/>
          <w:szCs w:val="14"/>
        </w:rPr>
        <w:t xml:space="preserve"> Czynności dokonywane na produkcie rolnym objętym Załącznikiem I do Traktatu o funkcjonowaniu Unii Europejskiej, w wyniku których powstaje produkt będący produktem zawartym w ww. Załączniku.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73632" w14:textId="77777777" w:rsidR="00A76FE4" w:rsidRDefault="00A76FE4">
    <w:pPr>
      <w:pStyle w:val="Nagwek"/>
    </w:pPr>
  </w:p>
  <w:p w14:paraId="6336E777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BC15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19D01B" wp14:editId="7D516DA0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3065F"/>
    <w:multiLevelType w:val="hybridMultilevel"/>
    <w:tmpl w:val="8B8E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6B6"/>
    <w:multiLevelType w:val="hybridMultilevel"/>
    <w:tmpl w:val="7622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52D0F"/>
    <w:multiLevelType w:val="hybridMultilevel"/>
    <w:tmpl w:val="43B4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5CC"/>
    <w:multiLevelType w:val="hybridMultilevel"/>
    <w:tmpl w:val="57FCBE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50B"/>
    <w:multiLevelType w:val="hybridMultilevel"/>
    <w:tmpl w:val="D202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143440"/>
    <w:multiLevelType w:val="hybridMultilevel"/>
    <w:tmpl w:val="972048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C489C"/>
    <w:multiLevelType w:val="hybridMultilevel"/>
    <w:tmpl w:val="43B4A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D4B4D9A"/>
    <w:multiLevelType w:val="hybridMultilevel"/>
    <w:tmpl w:val="C4962B3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B8E8CB8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1929"/>
    <w:multiLevelType w:val="hybridMultilevel"/>
    <w:tmpl w:val="E9E21C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D576886"/>
    <w:multiLevelType w:val="hybridMultilevel"/>
    <w:tmpl w:val="1FD0D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A67CC"/>
    <w:multiLevelType w:val="hybridMultilevel"/>
    <w:tmpl w:val="7FE863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22"/>
  </w:num>
  <w:num w:numId="17">
    <w:abstractNumId w:val="23"/>
  </w:num>
  <w:num w:numId="18">
    <w:abstractNumId w:val="6"/>
  </w:num>
  <w:num w:numId="19">
    <w:abstractNumId w:val="16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2"/>
  </w:num>
  <w:num w:numId="25">
    <w:abstractNumId w:val="29"/>
  </w:num>
  <w:num w:numId="26">
    <w:abstractNumId w:val="15"/>
  </w:num>
  <w:num w:numId="27">
    <w:abstractNumId w:val="25"/>
  </w:num>
  <w:num w:numId="28">
    <w:abstractNumId w:val="3"/>
  </w:num>
  <w:num w:numId="29">
    <w:abstractNumId w:val="33"/>
  </w:num>
  <w:num w:numId="30">
    <w:abstractNumId w:val="24"/>
  </w:num>
  <w:num w:numId="31">
    <w:abstractNumId w:val="9"/>
  </w:num>
  <w:num w:numId="32">
    <w:abstractNumId w:val="1"/>
  </w:num>
  <w:num w:numId="33">
    <w:abstractNumId w:val="18"/>
  </w:num>
  <w:num w:numId="34">
    <w:abstractNumId w:val="10"/>
  </w:num>
  <w:num w:numId="35">
    <w:abstractNumId w:val="8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52383"/>
    <w:rsid w:val="00092B5C"/>
    <w:rsid w:val="000C2954"/>
    <w:rsid w:val="000D705A"/>
    <w:rsid w:val="00136D97"/>
    <w:rsid w:val="00152DFC"/>
    <w:rsid w:val="001B0A6F"/>
    <w:rsid w:val="00263DEE"/>
    <w:rsid w:val="00291B87"/>
    <w:rsid w:val="002A64CB"/>
    <w:rsid w:val="00331273"/>
    <w:rsid w:val="00336326"/>
    <w:rsid w:val="00345F42"/>
    <w:rsid w:val="0035352B"/>
    <w:rsid w:val="00360E00"/>
    <w:rsid w:val="003835A4"/>
    <w:rsid w:val="0039041C"/>
    <w:rsid w:val="00394776"/>
    <w:rsid w:val="00394D1B"/>
    <w:rsid w:val="003A3329"/>
    <w:rsid w:val="003D5A7D"/>
    <w:rsid w:val="003D79F8"/>
    <w:rsid w:val="00412659"/>
    <w:rsid w:val="004148D0"/>
    <w:rsid w:val="00417674"/>
    <w:rsid w:val="0048408C"/>
    <w:rsid w:val="004967AC"/>
    <w:rsid w:val="004A6CD7"/>
    <w:rsid w:val="00500EF0"/>
    <w:rsid w:val="0057693D"/>
    <w:rsid w:val="005C005B"/>
    <w:rsid w:val="005C6D78"/>
    <w:rsid w:val="005D1380"/>
    <w:rsid w:val="005E1C52"/>
    <w:rsid w:val="005F3B22"/>
    <w:rsid w:val="006113C4"/>
    <w:rsid w:val="00625CAB"/>
    <w:rsid w:val="00644BA7"/>
    <w:rsid w:val="0064531F"/>
    <w:rsid w:val="00684AE5"/>
    <w:rsid w:val="006E2989"/>
    <w:rsid w:val="00705BF8"/>
    <w:rsid w:val="0071052D"/>
    <w:rsid w:val="00770EF8"/>
    <w:rsid w:val="007810F9"/>
    <w:rsid w:val="007E69B5"/>
    <w:rsid w:val="00830C4A"/>
    <w:rsid w:val="008502D5"/>
    <w:rsid w:val="0086180D"/>
    <w:rsid w:val="008F46E1"/>
    <w:rsid w:val="00903D3A"/>
    <w:rsid w:val="00905F5C"/>
    <w:rsid w:val="009B41D0"/>
    <w:rsid w:val="00A45151"/>
    <w:rsid w:val="00A63975"/>
    <w:rsid w:val="00A76B8B"/>
    <w:rsid w:val="00A76FE4"/>
    <w:rsid w:val="00AB35BB"/>
    <w:rsid w:val="00AB7164"/>
    <w:rsid w:val="00AD1021"/>
    <w:rsid w:val="00B22325"/>
    <w:rsid w:val="00B24472"/>
    <w:rsid w:val="00B57AA9"/>
    <w:rsid w:val="00B66784"/>
    <w:rsid w:val="00B771B4"/>
    <w:rsid w:val="00BD6273"/>
    <w:rsid w:val="00BE3603"/>
    <w:rsid w:val="00C36E92"/>
    <w:rsid w:val="00C63701"/>
    <w:rsid w:val="00C9555F"/>
    <w:rsid w:val="00D02464"/>
    <w:rsid w:val="00DA5E5D"/>
    <w:rsid w:val="00DA5E69"/>
    <w:rsid w:val="00DD5915"/>
    <w:rsid w:val="00DF0759"/>
    <w:rsid w:val="00E0003E"/>
    <w:rsid w:val="00E003C6"/>
    <w:rsid w:val="00E02C03"/>
    <w:rsid w:val="00E454A2"/>
    <w:rsid w:val="00E603A6"/>
    <w:rsid w:val="00E92F66"/>
    <w:rsid w:val="00EA59E4"/>
    <w:rsid w:val="00ED4D23"/>
    <w:rsid w:val="00F10593"/>
    <w:rsid w:val="00F17C0A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5C6D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D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5C6D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stopa_referencyjna_i_archiwum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competition/state_aid/legislation/reference_rates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BD41-C35D-4992-BDEF-A2FE9395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2609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61</cp:revision>
  <cp:lastPrinted>2021-02-19T20:17:00Z</cp:lastPrinted>
  <dcterms:created xsi:type="dcterms:W3CDTF">2017-09-21T08:47:00Z</dcterms:created>
  <dcterms:modified xsi:type="dcterms:W3CDTF">2021-02-19T20:18:00Z</dcterms:modified>
</cp:coreProperties>
</file>