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53703" w14:textId="77777777" w:rsidR="007C41EF" w:rsidRPr="00891E53" w:rsidRDefault="007C41EF" w:rsidP="005E133C">
      <w:pPr>
        <w:spacing w:line="240" w:lineRule="auto"/>
        <w:jc w:val="right"/>
        <w:rPr>
          <w:rFonts w:ascii="Verdana" w:hAnsi="Verdana"/>
          <w:b/>
          <w:sz w:val="16"/>
          <w:szCs w:val="16"/>
        </w:rPr>
      </w:pPr>
      <w:r w:rsidRPr="00891E53">
        <w:rPr>
          <w:rFonts w:ascii="Verdana" w:hAnsi="Verdana"/>
          <w:b/>
          <w:sz w:val="16"/>
          <w:szCs w:val="16"/>
        </w:rPr>
        <w:t>Załącznik do Umowy pożyczki</w:t>
      </w:r>
    </w:p>
    <w:p w14:paraId="226C3CD8" w14:textId="74062C0A" w:rsidR="007C41EF" w:rsidRPr="00891E53" w:rsidRDefault="007C41EF" w:rsidP="00891E53">
      <w:pPr>
        <w:spacing w:before="120" w:after="120" w:line="240" w:lineRule="auto"/>
        <w:jc w:val="center"/>
        <w:rPr>
          <w:rFonts w:ascii="Verdana" w:hAnsi="Verdana"/>
          <w:b/>
          <w:sz w:val="16"/>
          <w:szCs w:val="16"/>
        </w:rPr>
      </w:pPr>
      <w:r w:rsidRPr="00891E53">
        <w:rPr>
          <w:rFonts w:ascii="Verdana" w:hAnsi="Verdana"/>
          <w:b/>
          <w:sz w:val="16"/>
          <w:szCs w:val="16"/>
        </w:rPr>
        <w:t xml:space="preserve">Karta Produktu Pożyczka </w:t>
      </w:r>
      <w:r w:rsidR="00E9148F" w:rsidRPr="00891E53">
        <w:rPr>
          <w:rFonts w:ascii="Verdana" w:hAnsi="Verdana"/>
          <w:b/>
          <w:sz w:val="16"/>
          <w:szCs w:val="16"/>
        </w:rPr>
        <w:t>Płynnościowa</w:t>
      </w:r>
    </w:p>
    <w:p w14:paraId="2D66F147" w14:textId="42C67FD7" w:rsidR="007C41EF" w:rsidRPr="00EF5148" w:rsidRDefault="007C41EF" w:rsidP="005B272F">
      <w:pPr>
        <w:spacing w:after="20" w:line="240" w:lineRule="auto"/>
        <w:jc w:val="both"/>
        <w:rPr>
          <w:rFonts w:ascii="Verdana" w:hAnsi="Verdana"/>
          <w:b/>
          <w:sz w:val="15"/>
          <w:szCs w:val="15"/>
        </w:rPr>
      </w:pPr>
      <w:r w:rsidRPr="00EF5148">
        <w:rPr>
          <w:rFonts w:ascii="Verdana" w:hAnsi="Verdana"/>
          <w:b/>
          <w:sz w:val="15"/>
          <w:szCs w:val="15"/>
        </w:rPr>
        <w:t xml:space="preserve">I. Podstawowe parametry </w:t>
      </w:r>
    </w:p>
    <w:p w14:paraId="6142FD38" w14:textId="77777777" w:rsidR="007C41EF" w:rsidRPr="00EF5148" w:rsidRDefault="007C41EF" w:rsidP="005E133C">
      <w:pPr>
        <w:pStyle w:val="Akapitzlist"/>
        <w:numPr>
          <w:ilvl w:val="0"/>
          <w:numId w:val="4"/>
        </w:numPr>
        <w:spacing w:after="0" w:line="240" w:lineRule="auto"/>
        <w:ind w:left="284" w:hanging="284"/>
        <w:jc w:val="both"/>
        <w:rPr>
          <w:rFonts w:ascii="Verdana" w:hAnsi="Verdana" w:cs="Calibri"/>
          <w:sz w:val="15"/>
          <w:szCs w:val="15"/>
        </w:rPr>
      </w:pPr>
      <w:r w:rsidRPr="00EF5148">
        <w:rPr>
          <w:rFonts w:ascii="Verdana" w:hAnsi="Verdana" w:cs="Calibri"/>
          <w:bCs/>
          <w:sz w:val="15"/>
          <w:szCs w:val="15"/>
        </w:rPr>
        <w:t>Maksymalna wartość Jednostkowej Pożyczki wynosi 300 000,00 PLN</w:t>
      </w:r>
      <w:bookmarkStart w:id="0" w:name="_Hlk37882197"/>
      <w:r w:rsidRPr="00EF5148">
        <w:rPr>
          <w:rFonts w:ascii="Verdana" w:hAnsi="Verdana" w:cs="Calibri"/>
          <w:bCs/>
          <w:sz w:val="15"/>
          <w:szCs w:val="15"/>
        </w:rPr>
        <w:t>, z zastrzeżeniem ust. 2 poniżej.</w:t>
      </w:r>
    </w:p>
    <w:p w14:paraId="61F931AC" w14:textId="565D07F8" w:rsidR="007C41EF" w:rsidRPr="00EF5148" w:rsidRDefault="007C41EF" w:rsidP="005E133C">
      <w:pPr>
        <w:pStyle w:val="Akapitzlist"/>
        <w:numPr>
          <w:ilvl w:val="0"/>
          <w:numId w:val="4"/>
        </w:numPr>
        <w:autoSpaceDE w:val="0"/>
        <w:autoSpaceDN w:val="0"/>
        <w:adjustRightInd w:val="0"/>
        <w:spacing w:before="60" w:after="0" w:line="240" w:lineRule="auto"/>
        <w:ind w:left="284" w:hanging="284"/>
        <w:jc w:val="both"/>
        <w:rPr>
          <w:rFonts w:ascii="Verdana" w:hAnsi="Verdana" w:cs="Calibri"/>
          <w:color w:val="000000"/>
          <w:sz w:val="15"/>
          <w:szCs w:val="15"/>
        </w:rPr>
      </w:pPr>
      <w:r w:rsidRPr="00EF5148">
        <w:rPr>
          <w:rFonts w:ascii="Verdana" w:hAnsi="Verdana" w:cs="Calibri"/>
          <w:color w:val="000000"/>
          <w:sz w:val="15"/>
          <w:szCs w:val="15"/>
        </w:rPr>
        <w:t xml:space="preserve">W przypadku Jednostkowej Pożyczki udzielanej na zasadach programu pomocowego, wartość Jednostkowej Pożyczki oraz łącznie wszystkich Jednostkowych Pożyczek, jaką może otrzymać jeden Ostateczny Odbiorca </w:t>
      </w:r>
      <w:r w:rsidR="005234B9">
        <w:rPr>
          <w:rFonts w:ascii="Verdana" w:hAnsi="Verdana" w:cs="Calibri"/>
          <w:color w:val="000000"/>
          <w:sz w:val="15"/>
          <w:szCs w:val="15"/>
        </w:rPr>
        <w:br/>
      </w:r>
      <w:r w:rsidRPr="00EF5148">
        <w:rPr>
          <w:rFonts w:ascii="Verdana" w:hAnsi="Verdana" w:cs="Calibri"/>
          <w:color w:val="000000"/>
          <w:sz w:val="15"/>
          <w:szCs w:val="15"/>
        </w:rPr>
        <w:t xml:space="preserve">nie może dodatkowo przekraczać: </w:t>
      </w:r>
    </w:p>
    <w:p w14:paraId="44FBACC5" w14:textId="77777777" w:rsidR="00A1624A" w:rsidRDefault="007C41EF" w:rsidP="005E133C">
      <w:pPr>
        <w:pStyle w:val="Akapitzlist"/>
        <w:numPr>
          <w:ilvl w:val="0"/>
          <w:numId w:val="5"/>
        </w:numPr>
        <w:autoSpaceDE w:val="0"/>
        <w:autoSpaceDN w:val="0"/>
        <w:adjustRightInd w:val="0"/>
        <w:spacing w:before="60" w:after="0" w:line="240" w:lineRule="auto"/>
        <w:jc w:val="both"/>
        <w:rPr>
          <w:rFonts w:ascii="Verdana" w:hAnsi="Verdana" w:cs="Calibri"/>
          <w:color w:val="000000"/>
          <w:sz w:val="15"/>
          <w:szCs w:val="15"/>
        </w:rPr>
      </w:pPr>
      <w:r w:rsidRPr="00A1624A">
        <w:rPr>
          <w:rFonts w:ascii="Verdana" w:hAnsi="Verdana" w:cs="Calibri"/>
          <w:color w:val="000000"/>
          <w:sz w:val="15"/>
          <w:szCs w:val="15"/>
        </w:rPr>
        <w:t xml:space="preserve">dwukrotności rocznych kosztów wynagrodzeń wypłaconych przez przedsiębiorcę oraz kosztów personelu pracującego na terenie jego przedsiębiorstwa, ale otrzymującego wynagrodzenie od podwykonawców, </w:t>
      </w:r>
      <w:r w:rsidRPr="00A1624A">
        <w:rPr>
          <w:rFonts w:ascii="Verdana" w:hAnsi="Verdana" w:cs="Calibri"/>
          <w:color w:val="000000"/>
          <w:sz w:val="15"/>
          <w:szCs w:val="15"/>
        </w:rPr>
        <w:br/>
        <w:t xml:space="preserve">za rok 2019 lub za ostatni rok, za który dostępne są dane; w przypadku przedsiębiorstw utworzonych </w:t>
      </w:r>
      <w:r w:rsidRPr="00A1624A">
        <w:rPr>
          <w:rFonts w:ascii="Verdana" w:hAnsi="Verdana" w:cs="Calibri"/>
          <w:color w:val="000000"/>
          <w:sz w:val="15"/>
          <w:szCs w:val="15"/>
        </w:rPr>
        <w:br/>
        <w:t xml:space="preserve">w dniu 1 stycznia 2019 roku lub po tym dniu maksymalna wartość pożyczki nie może przekroczyć rocznych kosztów wynagrodzeń szacowanych na okres pierwszych dwóch lat działalności; albo </w:t>
      </w:r>
    </w:p>
    <w:p w14:paraId="3DA22566" w14:textId="77777777" w:rsidR="00A1624A" w:rsidRDefault="007C41EF" w:rsidP="005E133C">
      <w:pPr>
        <w:pStyle w:val="Akapitzlist"/>
        <w:numPr>
          <w:ilvl w:val="0"/>
          <w:numId w:val="5"/>
        </w:numPr>
        <w:autoSpaceDE w:val="0"/>
        <w:autoSpaceDN w:val="0"/>
        <w:adjustRightInd w:val="0"/>
        <w:spacing w:before="60" w:after="0" w:line="240" w:lineRule="auto"/>
        <w:jc w:val="both"/>
        <w:rPr>
          <w:rFonts w:ascii="Verdana" w:hAnsi="Verdana" w:cs="Calibri"/>
          <w:color w:val="000000"/>
          <w:sz w:val="15"/>
          <w:szCs w:val="15"/>
        </w:rPr>
      </w:pPr>
      <w:r w:rsidRPr="00A1624A">
        <w:rPr>
          <w:rFonts w:ascii="Verdana" w:hAnsi="Verdana" w:cs="Calibri"/>
          <w:color w:val="000000"/>
          <w:sz w:val="15"/>
          <w:szCs w:val="15"/>
        </w:rPr>
        <w:t xml:space="preserve">25% łącznego obrotu przedsiębiorcy w 2019 r.; albo </w:t>
      </w:r>
    </w:p>
    <w:p w14:paraId="342093E8" w14:textId="05799EF5" w:rsidR="007C41EF" w:rsidRPr="005B272F" w:rsidRDefault="007C41EF" w:rsidP="005E133C">
      <w:pPr>
        <w:pStyle w:val="Akapitzlist"/>
        <w:numPr>
          <w:ilvl w:val="0"/>
          <w:numId w:val="5"/>
        </w:numPr>
        <w:autoSpaceDE w:val="0"/>
        <w:autoSpaceDN w:val="0"/>
        <w:adjustRightInd w:val="0"/>
        <w:spacing w:before="60" w:after="0" w:line="240" w:lineRule="auto"/>
        <w:jc w:val="both"/>
        <w:rPr>
          <w:rFonts w:ascii="Verdana" w:hAnsi="Verdana" w:cs="Calibri"/>
          <w:color w:val="000000"/>
          <w:sz w:val="15"/>
          <w:szCs w:val="15"/>
        </w:rPr>
      </w:pPr>
      <w:r w:rsidRPr="00A1624A">
        <w:rPr>
          <w:rFonts w:ascii="Verdana" w:hAnsi="Verdana" w:cs="Calibri"/>
          <w:color w:val="000000"/>
          <w:sz w:val="15"/>
          <w:szCs w:val="15"/>
        </w:rPr>
        <w:t xml:space="preserve">jeżeli Ostateczny Odbiorca przedstawi odpowiednie uzasadnienie i w oparciu o oświadczenie Ostatecznego Odbiorcy o zapotrzebowaniu na płynność, wartość pożyczki może zostać zwiększona do wartości </w:t>
      </w:r>
      <w:r w:rsidRPr="005B272F">
        <w:rPr>
          <w:rFonts w:ascii="Verdana" w:hAnsi="Verdana" w:cs="Calibri"/>
          <w:color w:val="000000"/>
          <w:sz w:val="15"/>
          <w:szCs w:val="15"/>
        </w:rPr>
        <w:t>odpowiadającej zapotrzebowaniu na płynność od dnia udzielenia pomo</w:t>
      </w:r>
      <w:r w:rsidR="00891E53">
        <w:rPr>
          <w:rFonts w:ascii="Verdana" w:hAnsi="Verdana" w:cs="Calibri"/>
          <w:color w:val="000000"/>
          <w:sz w:val="15"/>
          <w:szCs w:val="15"/>
        </w:rPr>
        <w:t>cy przez najbliższe 18 miesięcy;</w:t>
      </w:r>
    </w:p>
    <w:p w14:paraId="37970626" w14:textId="066B47AE" w:rsidR="005E133C" w:rsidRPr="005B272F" w:rsidRDefault="005E133C" w:rsidP="005E133C">
      <w:pPr>
        <w:pStyle w:val="Akapitzlist"/>
        <w:numPr>
          <w:ilvl w:val="0"/>
          <w:numId w:val="5"/>
        </w:numPr>
        <w:autoSpaceDE w:val="0"/>
        <w:autoSpaceDN w:val="0"/>
        <w:adjustRightInd w:val="0"/>
        <w:spacing w:before="60" w:after="0" w:line="240" w:lineRule="auto"/>
        <w:jc w:val="both"/>
        <w:rPr>
          <w:rFonts w:ascii="Verdana" w:hAnsi="Verdana" w:cs="Calibri"/>
          <w:color w:val="000000"/>
          <w:sz w:val="15"/>
          <w:szCs w:val="15"/>
        </w:rPr>
      </w:pPr>
      <w:r w:rsidRPr="005B272F">
        <w:rPr>
          <w:rFonts w:ascii="Verdana" w:hAnsi="Verdana"/>
          <w:sz w:val="15"/>
          <w:szCs w:val="15"/>
        </w:rPr>
        <w:t xml:space="preserve">w przypadku pożyczki, której termin zapadalności przypada najpóźniej w dniu </w:t>
      </w:r>
      <w:r w:rsidR="00A40CAC">
        <w:rPr>
          <w:rFonts w:ascii="Verdana" w:hAnsi="Verdana"/>
          <w:sz w:val="15"/>
          <w:szCs w:val="15"/>
        </w:rPr>
        <w:t>30</w:t>
      </w:r>
      <w:r w:rsidRPr="005B272F">
        <w:rPr>
          <w:rFonts w:ascii="Verdana" w:hAnsi="Verdana"/>
          <w:sz w:val="15"/>
          <w:szCs w:val="15"/>
        </w:rPr>
        <w:t xml:space="preserve"> </w:t>
      </w:r>
      <w:r w:rsidR="00A40CAC">
        <w:rPr>
          <w:rFonts w:ascii="Verdana" w:hAnsi="Verdana"/>
          <w:sz w:val="15"/>
          <w:szCs w:val="15"/>
        </w:rPr>
        <w:t>czerwca 2021</w:t>
      </w:r>
      <w:r w:rsidRPr="005B272F">
        <w:rPr>
          <w:rFonts w:ascii="Verdana" w:hAnsi="Verdana"/>
          <w:sz w:val="15"/>
          <w:szCs w:val="15"/>
        </w:rPr>
        <w:t xml:space="preserve"> r., </w:t>
      </w:r>
      <w:r w:rsidR="003302B1" w:rsidRPr="005B272F">
        <w:rPr>
          <w:rFonts w:ascii="Verdana" w:hAnsi="Verdana"/>
          <w:sz w:val="15"/>
          <w:szCs w:val="15"/>
        </w:rPr>
        <w:t>wartość</w:t>
      </w:r>
      <w:r w:rsidRPr="005B272F">
        <w:rPr>
          <w:rFonts w:ascii="Verdana" w:hAnsi="Verdana"/>
          <w:sz w:val="15"/>
          <w:szCs w:val="15"/>
        </w:rPr>
        <w:t xml:space="preserve"> pożyczki może być wyższa niż </w:t>
      </w:r>
      <w:r w:rsidR="003302B1" w:rsidRPr="005B272F">
        <w:rPr>
          <w:rFonts w:ascii="Verdana" w:hAnsi="Verdana"/>
          <w:sz w:val="15"/>
          <w:szCs w:val="15"/>
        </w:rPr>
        <w:t xml:space="preserve">wartość </w:t>
      </w:r>
      <w:r w:rsidRPr="005B272F">
        <w:rPr>
          <w:rFonts w:ascii="Verdana" w:hAnsi="Verdana"/>
          <w:sz w:val="15"/>
          <w:szCs w:val="15"/>
        </w:rPr>
        <w:t xml:space="preserve">określona w pkt. 1) lub 2) powyżej, jeżeli przemawia </w:t>
      </w:r>
      <w:r w:rsidRPr="005B272F">
        <w:rPr>
          <w:rFonts w:ascii="Verdana" w:hAnsi="Verdana"/>
          <w:sz w:val="15"/>
          <w:szCs w:val="15"/>
        </w:rPr>
        <w:br/>
        <w:t>za tym interes społeczny lub ważny interes przedsiębiorcy i pod warunkiem zachowania proporcjonalności pomocy.</w:t>
      </w:r>
    </w:p>
    <w:bookmarkEnd w:id="0"/>
    <w:p w14:paraId="60D6FCBA" w14:textId="77777777" w:rsidR="007C41EF" w:rsidRPr="00EF5148" w:rsidRDefault="007C41EF" w:rsidP="005E133C">
      <w:pPr>
        <w:pStyle w:val="Akapitzlist"/>
        <w:numPr>
          <w:ilvl w:val="0"/>
          <w:numId w:val="4"/>
        </w:numPr>
        <w:spacing w:after="0" w:line="240" w:lineRule="auto"/>
        <w:ind w:left="284" w:hanging="284"/>
        <w:jc w:val="both"/>
        <w:rPr>
          <w:rFonts w:ascii="Verdana" w:hAnsi="Verdana" w:cs="Calibri"/>
          <w:sz w:val="15"/>
          <w:szCs w:val="15"/>
        </w:rPr>
      </w:pPr>
      <w:r w:rsidRPr="00EF5148">
        <w:rPr>
          <w:rFonts w:ascii="Verdana" w:hAnsi="Verdana" w:cs="Calibri"/>
          <w:bCs/>
          <w:sz w:val="15"/>
          <w:szCs w:val="15"/>
        </w:rPr>
        <w:t>Jeden Ostateczny Odbiorca może otrzymać</w:t>
      </w:r>
      <w:r w:rsidRPr="00EF5148">
        <w:rPr>
          <w:rFonts w:ascii="Verdana" w:hAnsi="Verdana" w:cs="Calibri"/>
          <w:sz w:val="15"/>
          <w:szCs w:val="15"/>
        </w:rPr>
        <w:t xml:space="preserve"> </w:t>
      </w:r>
      <w:r w:rsidRPr="00EF5148">
        <w:rPr>
          <w:rFonts w:ascii="Verdana" w:hAnsi="Verdana" w:cs="Calibri"/>
          <w:bCs/>
          <w:sz w:val="15"/>
          <w:szCs w:val="15"/>
        </w:rPr>
        <w:t xml:space="preserve">więcej niż jedną Jednostkową Pożyczkę, przy czym </w:t>
      </w:r>
      <w:r w:rsidRPr="00EF5148">
        <w:rPr>
          <w:rFonts w:ascii="Verdana" w:hAnsi="Verdana" w:cs="Calibri"/>
          <w:sz w:val="15"/>
          <w:szCs w:val="15"/>
        </w:rPr>
        <w:t>łączna wartość Jednostkowych Pożyczek udzielonych jednemu Ostatecznemu Odbiorcy nie może być wyższa niż maksymalna wartość, o której mowa w ust. 1 powyżej, z zastrzeżeniem ust. 2 powyżej</w:t>
      </w:r>
      <w:r w:rsidRPr="00EF5148">
        <w:rPr>
          <w:rFonts w:ascii="Verdana" w:eastAsia="Times New Roman" w:hAnsi="Verdana" w:cs="Calibri"/>
          <w:sz w:val="15"/>
          <w:szCs w:val="15"/>
          <w:lang w:eastAsia="ar-SA"/>
        </w:rPr>
        <w:t>.</w:t>
      </w:r>
    </w:p>
    <w:p w14:paraId="32AA566B" w14:textId="77777777" w:rsidR="007C41EF" w:rsidRPr="00EF5148" w:rsidRDefault="007C41EF" w:rsidP="005E133C">
      <w:pPr>
        <w:pStyle w:val="Akapitzlist"/>
        <w:numPr>
          <w:ilvl w:val="0"/>
          <w:numId w:val="4"/>
        </w:numPr>
        <w:spacing w:after="0" w:line="240" w:lineRule="auto"/>
        <w:ind w:left="284" w:hanging="284"/>
        <w:jc w:val="both"/>
        <w:rPr>
          <w:rFonts w:ascii="Verdana" w:hAnsi="Verdana" w:cs="Calibri"/>
          <w:sz w:val="15"/>
          <w:szCs w:val="15"/>
        </w:rPr>
      </w:pPr>
      <w:r w:rsidRPr="00EF5148">
        <w:rPr>
          <w:rFonts w:ascii="Verdana" w:hAnsi="Verdana" w:cs="Calibri"/>
          <w:bCs/>
          <w:sz w:val="15"/>
          <w:szCs w:val="15"/>
        </w:rPr>
        <w:t>Nie jest wymagany wkład własny Ostatecznego Odbiorcy w finansowaniu wydatków objętych Jednostkową Pożyczką.</w:t>
      </w:r>
    </w:p>
    <w:p w14:paraId="4BC22176" w14:textId="77777777" w:rsidR="007C41EF" w:rsidRPr="00EF5148" w:rsidRDefault="007C41EF" w:rsidP="005E133C">
      <w:pPr>
        <w:pStyle w:val="Akapitzlist"/>
        <w:numPr>
          <w:ilvl w:val="0"/>
          <w:numId w:val="4"/>
        </w:numPr>
        <w:spacing w:after="0" w:line="240" w:lineRule="auto"/>
        <w:ind w:left="284" w:hanging="284"/>
        <w:jc w:val="both"/>
        <w:rPr>
          <w:rFonts w:ascii="Verdana" w:hAnsi="Verdana" w:cs="Calibri"/>
          <w:sz w:val="15"/>
          <w:szCs w:val="15"/>
        </w:rPr>
      </w:pPr>
      <w:r w:rsidRPr="00EF5148">
        <w:rPr>
          <w:rFonts w:ascii="Verdana" w:hAnsi="Verdana" w:cs="Calibri"/>
          <w:bCs/>
          <w:sz w:val="15"/>
          <w:szCs w:val="15"/>
        </w:rPr>
        <w:t>Maksymalny okres spłaty Jednostkowej Pożyczki nie może być dłuższy niż 72 miesiące (6 lat) od momentu uruchomienia pożyczki, tj. wypłaty jakiejkolwiek kwoty Jednostkowej Pożyczki.</w:t>
      </w:r>
    </w:p>
    <w:p w14:paraId="718A767E" w14:textId="71549ECD" w:rsidR="007C41EF" w:rsidRPr="00EF5148" w:rsidRDefault="007C41EF" w:rsidP="005E133C">
      <w:pPr>
        <w:pStyle w:val="Akapitzlist"/>
        <w:numPr>
          <w:ilvl w:val="0"/>
          <w:numId w:val="4"/>
        </w:numPr>
        <w:spacing w:after="0" w:line="240" w:lineRule="auto"/>
        <w:ind w:left="284" w:hanging="284"/>
        <w:jc w:val="both"/>
        <w:rPr>
          <w:rFonts w:ascii="Verdana" w:hAnsi="Verdana" w:cs="Calibri"/>
          <w:sz w:val="15"/>
          <w:szCs w:val="15"/>
        </w:rPr>
      </w:pPr>
      <w:r w:rsidRPr="00EF5148">
        <w:rPr>
          <w:rFonts w:ascii="Verdana" w:hAnsi="Verdana" w:cs="Calibri"/>
          <w:bCs/>
          <w:sz w:val="15"/>
          <w:szCs w:val="15"/>
        </w:rPr>
        <w:t xml:space="preserve">Karencja w spłacie kapitału Jednostkowej Pożyczki może wynieść do 12 miesięcy od dnia jej uruchomienia, </w:t>
      </w:r>
      <w:r w:rsidR="005234B9">
        <w:rPr>
          <w:rFonts w:ascii="Verdana" w:hAnsi="Verdana" w:cs="Calibri"/>
          <w:bCs/>
          <w:sz w:val="15"/>
          <w:szCs w:val="15"/>
        </w:rPr>
        <w:br/>
      </w:r>
      <w:r w:rsidRPr="00EF5148">
        <w:rPr>
          <w:rFonts w:ascii="Verdana" w:hAnsi="Verdana" w:cs="Calibri"/>
          <w:bCs/>
          <w:sz w:val="15"/>
          <w:szCs w:val="15"/>
        </w:rPr>
        <w:t xml:space="preserve">przy czym karencja </w:t>
      </w:r>
      <w:bookmarkStart w:id="1" w:name="_Hlk37763016"/>
      <w:r w:rsidRPr="00EF5148">
        <w:rPr>
          <w:rFonts w:ascii="Verdana" w:hAnsi="Verdana" w:cs="Calibri"/>
          <w:bCs/>
          <w:sz w:val="15"/>
          <w:szCs w:val="15"/>
        </w:rPr>
        <w:t>nie wydłuża spłaty Jednostkowej Pożyczki</w:t>
      </w:r>
      <w:bookmarkEnd w:id="1"/>
      <w:r w:rsidRPr="00EF5148">
        <w:rPr>
          <w:rFonts w:ascii="Verdana" w:hAnsi="Verdana" w:cs="Calibri"/>
          <w:bCs/>
          <w:sz w:val="15"/>
          <w:szCs w:val="15"/>
        </w:rPr>
        <w:t>.</w:t>
      </w:r>
    </w:p>
    <w:p w14:paraId="19833143" w14:textId="25D3DC05" w:rsidR="007C41EF" w:rsidRPr="00EF5148" w:rsidRDefault="007C41EF" w:rsidP="005E133C">
      <w:pPr>
        <w:pStyle w:val="Akapitzlist"/>
        <w:numPr>
          <w:ilvl w:val="0"/>
          <w:numId w:val="4"/>
        </w:numPr>
        <w:spacing w:after="0" w:line="240" w:lineRule="auto"/>
        <w:ind w:left="284" w:hanging="284"/>
        <w:jc w:val="both"/>
        <w:rPr>
          <w:rFonts w:ascii="Verdana" w:hAnsi="Verdana" w:cs="Calibri"/>
          <w:sz w:val="15"/>
          <w:szCs w:val="15"/>
        </w:rPr>
      </w:pPr>
      <w:r w:rsidRPr="00EF5148">
        <w:rPr>
          <w:rFonts w:ascii="Verdana" w:hAnsi="Verdana" w:cs="Calibri"/>
          <w:bCs/>
          <w:sz w:val="15"/>
          <w:szCs w:val="15"/>
        </w:rPr>
        <w:t xml:space="preserve">Dopuszczalne jest zastosowanie maksymalnie 6-miesięcznego zawieszenia spłaty rat odsetkowych </w:t>
      </w:r>
      <w:r w:rsidRPr="00EF5148">
        <w:rPr>
          <w:rFonts w:ascii="Verdana" w:hAnsi="Verdana" w:cs="Calibri"/>
          <w:bCs/>
          <w:sz w:val="15"/>
          <w:szCs w:val="15"/>
        </w:rPr>
        <w:br/>
        <w:t xml:space="preserve">oraz kapitałowych (tzw. wakacje pożyczkowe), które Pośrednik Finansowy może udzielić Ostatecznemu Odbiorcy </w:t>
      </w:r>
      <w:r w:rsidR="005234B9">
        <w:rPr>
          <w:rFonts w:ascii="Verdana" w:hAnsi="Verdana" w:cs="Calibri"/>
          <w:bCs/>
          <w:sz w:val="15"/>
          <w:szCs w:val="15"/>
        </w:rPr>
        <w:br/>
      </w:r>
      <w:r w:rsidRPr="00EF5148">
        <w:rPr>
          <w:rFonts w:ascii="Verdana" w:hAnsi="Verdana" w:cs="Calibri"/>
          <w:bCs/>
          <w:sz w:val="15"/>
          <w:szCs w:val="15"/>
        </w:rPr>
        <w:t>w pierwszym i drugim roku okresu spłaty</w:t>
      </w:r>
      <w:r w:rsidRPr="00EF5148">
        <w:rPr>
          <w:rFonts w:ascii="Verdana" w:eastAsia="Times New Roman" w:hAnsi="Verdana"/>
          <w:sz w:val="15"/>
          <w:szCs w:val="15"/>
        </w:rPr>
        <w:t xml:space="preserve"> </w:t>
      </w:r>
      <w:r w:rsidRPr="00EF5148">
        <w:rPr>
          <w:rFonts w:ascii="Verdana" w:hAnsi="Verdana" w:cs="Calibri"/>
          <w:bCs/>
          <w:sz w:val="15"/>
          <w:szCs w:val="15"/>
        </w:rPr>
        <w:t xml:space="preserve"> Jednostkowej Pożyczki,  przy czym okres zawieszenia spłaty rat odsetkowych oraz kapitałowych może wydłużyć okres spłaty Jednostkowej Pożyczki, z zastrzeżeniem </w:t>
      </w:r>
      <w:r w:rsidR="00891E53">
        <w:rPr>
          <w:rFonts w:ascii="Verdana" w:hAnsi="Verdana" w:cs="Calibri"/>
          <w:bCs/>
          <w:sz w:val="15"/>
          <w:szCs w:val="15"/>
        </w:rPr>
        <w:t xml:space="preserve">                          </w:t>
      </w:r>
      <w:r w:rsidRPr="00EF5148">
        <w:rPr>
          <w:rFonts w:ascii="Verdana" w:hAnsi="Verdana" w:cs="Calibri"/>
          <w:bCs/>
          <w:sz w:val="15"/>
          <w:szCs w:val="15"/>
        </w:rPr>
        <w:t>ust. 5 powyżej.</w:t>
      </w:r>
    </w:p>
    <w:p w14:paraId="590586D8" w14:textId="77777777" w:rsidR="007C41EF" w:rsidRPr="00EF5148" w:rsidRDefault="007C41EF" w:rsidP="00891E53">
      <w:pPr>
        <w:spacing w:before="60" w:after="20" w:line="240" w:lineRule="auto"/>
        <w:jc w:val="both"/>
        <w:rPr>
          <w:rFonts w:ascii="Verdana" w:hAnsi="Verdana"/>
          <w:b/>
          <w:sz w:val="15"/>
          <w:szCs w:val="15"/>
        </w:rPr>
      </w:pPr>
      <w:r w:rsidRPr="00EF5148">
        <w:rPr>
          <w:rFonts w:ascii="Verdana" w:hAnsi="Verdana"/>
          <w:b/>
          <w:sz w:val="15"/>
          <w:szCs w:val="15"/>
        </w:rPr>
        <w:t>II. Zasady dotyczące udzielania i udokumentowania Pożyczki</w:t>
      </w:r>
    </w:p>
    <w:p w14:paraId="4412EC74" w14:textId="75B15154" w:rsidR="007C41EF" w:rsidRPr="00EF5148" w:rsidRDefault="007C41EF" w:rsidP="005E133C">
      <w:pPr>
        <w:pStyle w:val="Akapitzlist"/>
        <w:numPr>
          <w:ilvl w:val="0"/>
          <w:numId w:val="2"/>
        </w:numPr>
        <w:autoSpaceDE w:val="0"/>
        <w:autoSpaceDN w:val="0"/>
        <w:spacing w:after="0" w:line="240" w:lineRule="auto"/>
        <w:ind w:left="284" w:hanging="284"/>
        <w:jc w:val="both"/>
        <w:rPr>
          <w:rFonts w:ascii="Verdana" w:hAnsi="Verdana"/>
          <w:sz w:val="15"/>
          <w:szCs w:val="15"/>
        </w:rPr>
      </w:pPr>
      <w:r w:rsidRPr="00EF5148">
        <w:rPr>
          <w:rFonts w:ascii="Verdana" w:hAnsi="Verdana" w:cs="Calibri"/>
          <w:sz w:val="15"/>
          <w:szCs w:val="15"/>
        </w:rPr>
        <w:t xml:space="preserve">Udzielenie Jednostkowej Pożyczki nie może być uzależnione od zawarcia przez Ostatecznego Odbiorcę dodatkowych umów (w szczególności dotyczących zakupu dodatkowych usług, produktów finansowych lub ubezpieczeniowych) </w:t>
      </w:r>
      <w:r w:rsidR="005234B9">
        <w:rPr>
          <w:rFonts w:ascii="Verdana" w:hAnsi="Verdana" w:cs="Calibri"/>
          <w:sz w:val="15"/>
          <w:szCs w:val="15"/>
        </w:rPr>
        <w:br/>
      </w:r>
      <w:r w:rsidRPr="00EF5148">
        <w:rPr>
          <w:rFonts w:ascii="Verdana" w:hAnsi="Verdana" w:cs="Calibri"/>
          <w:sz w:val="15"/>
          <w:szCs w:val="15"/>
        </w:rPr>
        <w:t>z Pośrednikiem Finansowym lub podmiotem partnerskim lub powiązanym w stosunku do Pośrednika Finansowego</w:t>
      </w:r>
      <w:r w:rsidRPr="00EF5148">
        <w:rPr>
          <w:rFonts w:ascii="Verdana" w:hAnsi="Verdana"/>
          <w:sz w:val="15"/>
          <w:szCs w:val="15"/>
        </w:rPr>
        <w:t xml:space="preserve">; powyższe nie dotyczy powszechnie występujących na rynku oraz standardowo stosowanych przez </w:t>
      </w:r>
      <w:r w:rsidR="00EA1D2B">
        <w:rPr>
          <w:rFonts w:ascii="Verdana" w:hAnsi="Verdana"/>
          <w:sz w:val="15"/>
          <w:szCs w:val="15"/>
        </w:rPr>
        <w:t>Pośrednika Finansowego</w:t>
      </w:r>
      <w:r w:rsidRPr="00EF5148">
        <w:rPr>
          <w:rFonts w:ascii="Verdana" w:hAnsi="Verdana"/>
          <w:sz w:val="15"/>
          <w:szCs w:val="15"/>
        </w:rPr>
        <w:t xml:space="preserve"> zabezpieczeń ustanawianych przez Ostatecznego Odbiorcę na rzecz </w:t>
      </w:r>
      <w:r w:rsidR="00EA1D2B">
        <w:rPr>
          <w:rFonts w:ascii="Verdana" w:hAnsi="Verdana"/>
          <w:sz w:val="15"/>
          <w:szCs w:val="15"/>
        </w:rPr>
        <w:t xml:space="preserve">Pośrednika Finansowego               </w:t>
      </w:r>
      <w:r w:rsidRPr="00EF5148">
        <w:rPr>
          <w:rFonts w:ascii="Verdana" w:hAnsi="Verdana"/>
          <w:sz w:val="15"/>
          <w:szCs w:val="15"/>
        </w:rPr>
        <w:t xml:space="preserve">w związku z zawieraną umową Pożyczki, z zastrzeżeniem, iż w przypadku zabezpieczenia takiego jak „cesja praw </w:t>
      </w:r>
      <w:r w:rsidR="00EA1D2B">
        <w:rPr>
          <w:rFonts w:ascii="Verdana" w:hAnsi="Verdana"/>
          <w:sz w:val="15"/>
          <w:szCs w:val="15"/>
        </w:rPr>
        <w:t xml:space="preserve">           </w:t>
      </w:r>
      <w:r w:rsidRPr="00EF5148">
        <w:rPr>
          <w:rFonts w:ascii="Verdana" w:hAnsi="Verdana"/>
          <w:sz w:val="15"/>
          <w:szCs w:val="15"/>
        </w:rPr>
        <w:t>z polisy ubezpieczeniowej” Ostateczny Odbiorca ma możliwość wyboru oferty spośród ubezpieczycieli dostępnych na rynku.</w:t>
      </w:r>
    </w:p>
    <w:p w14:paraId="2505EBC5" w14:textId="77777777" w:rsidR="007C41EF" w:rsidRPr="00EF5148" w:rsidRDefault="007C41EF" w:rsidP="005E133C">
      <w:pPr>
        <w:pStyle w:val="Akapitzlist"/>
        <w:numPr>
          <w:ilvl w:val="0"/>
          <w:numId w:val="2"/>
        </w:numPr>
        <w:autoSpaceDE w:val="0"/>
        <w:autoSpaceDN w:val="0"/>
        <w:spacing w:after="0" w:line="240" w:lineRule="auto"/>
        <w:ind w:left="284" w:hanging="284"/>
        <w:jc w:val="both"/>
        <w:rPr>
          <w:rFonts w:ascii="Verdana" w:hAnsi="Verdana"/>
          <w:sz w:val="15"/>
          <w:szCs w:val="15"/>
        </w:rPr>
      </w:pPr>
      <w:r w:rsidRPr="00EF5148">
        <w:rPr>
          <w:rFonts w:ascii="Verdana" w:hAnsi="Verdana" w:cs="Calibri"/>
          <w:sz w:val="15"/>
          <w:szCs w:val="15"/>
        </w:rPr>
        <w:t>Okres wydatkowania środków Jednostkowej Pożyczki wynosi maksymalnie 365 dni od dnia wypłaty pełnej kwoty Jednostkowej Pożyczki na rzecz Ostatecznego Odbiorcy.</w:t>
      </w:r>
    </w:p>
    <w:p w14:paraId="6F329EEF" w14:textId="1252B6E7" w:rsidR="007C41EF" w:rsidRPr="00EF5148" w:rsidRDefault="007C41EF" w:rsidP="005E133C">
      <w:pPr>
        <w:pStyle w:val="Akapitzlist"/>
        <w:numPr>
          <w:ilvl w:val="0"/>
          <w:numId w:val="2"/>
        </w:numPr>
        <w:autoSpaceDE w:val="0"/>
        <w:autoSpaceDN w:val="0"/>
        <w:spacing w:after="0" w:line="240" w:lineRule="auto"/>
        <w:ind w:left="284" w:hanging="284"/>
        <w:jc w:val="both"/>
        <w:rPr>
          <w:rFonts w:ascii="Verdana" w:hAnsi="Verdana"/>
          <w:sz w:val="15"/>
          <w:szCs w:val="15"/>
        </w:rPr>
      </w:pPr>
      <w:r w:rsidRPr="00EF5148">
        <w:rPr>
          <w:rFonts w:ascii="Verdana" w:hAnsi="Verdana" w:cs="Calibri"/>
          <w:sz w:val="15"/>
          <w:szCs w:val="15"/>
        </w:rPr>
        <w:t xml:space="preserve">Wydatkowanie środków Jednostkowej Pożyczki musi być udokumentowane, zgodnie z ust. </w:t>
      </w:r>
      <w:r w:rsidR="00E9148F" w:rsidRPr="00EF5148">
        <w:rPr>
          <w:rFonts w:ascii="Verdana" w:hAnsi="Verdana" w:cs="Calibri"/>
          <w:sz w:val="15"/>
          <w:szCs w:val="15"/>
        </w:rPr>
        <w:t>4</w:t>
      </w:r>
      <w:r w:rsidRPr="00EF5148">
        <w:rPr>
          <w:rFonts w:ascii="Verdana" w:hAnsi="Verdana" w:cs="Calibri"/>
          <w:sz w:val="15"/>
          <w:szCs w:val="15"/>
        </w:rPr>
        <w:t xml:space="preserve"> poniżej, </w:t>
      </w:r>
      <w:r w:rsidRPr="00EF5148">
        <w:rPr>
          <w:rFonts w:ascii="Verdana" w:hAnsi="Verdana" w:cs="Calibri"/>
          <w:sz w:val="15"/>
          <w:szCs w:val="15"/>
        </w:rPr>
        <w:br/>
        <w:t>w terminie do 60 dni od dnia zakończenia okresu wydatkowania środków Jednostkowej Pożyczki.</w:t>
      </w:r>
    </w:p>
    <w:p w14:paraId="040823C6" w14:textId="7776ECF6" w:rsidR="007C41EF" w:rsidRPr="00EF5148" w:rsidRDefault="007C41EF" w:rsidP="005E133C">
      <w:pPr>
        <w:pStyle w:val="Akapitzlist"/>
        <w:numPr>
          <w:ilvl w:val="0"/>
          <w:numId w:val="2"/>
        </w:numPr>
        <w:autoSpaceDE w:val="0"/>
        <w:autoSpaceDN w:val="0"/>
        <w:spacing w:after="0" w:line="240" w:lineRule="auto"/>
        <w:ind w:left="284" w:hanging="284"/>
        <w:jc w:val="both"/>
        <w:rPr>
          <w:rFonts w:ascii="Verdana" w:hAnsi="Verdana"/>
          <w:sz w:val="15"/>
          <w:szCs w:val="15"/>
        </w:rPr>
      </w:pPr>
      <w:r w:rsidRPr="00EF5148">
        <w:rPr>
          <w:rFonts w:ascii="Verdana" w:hAnsi="Verdana" w:cs="Calibri"/>
          <w:sz w:val="15"/>
          <w:szCs w:val="15"/>
        </w:rPr>
        <w:t xml:space="preserve">Dokumentem potwierdzającym rozliczenie środków jest faktura lub dokument równoważny w rozumieniu przepisów prawa krajowego wraz z potwierdzeniem dokonania przelewu lub potwierdzeniem przez kontrahenta opisanego na wyżej wymienionej fakturze (lub dokumencie równoważnym) dokonania przez przedsiębiorcę całkowitej zapłaty. Obowiązkiem Ostatecznego Odbiorcy jest należyte dokumentowanie wydatkowania środków Jednostkowej Pożyczki na zasadach, o których mowa w zdaniu pierwszym niniejszego ustępu. </w:t>
      </w:r>
    </w:p>
    <w:p w14:paraId="696BE082" w14:textId="0EE5D095" w:rsidR="007C41EF" w:rsidRPr="00EF5148" w:rsidRDefault="007C41EF" w:rsidP="005E133C">
      <w:pPr>
        <w:pStyle w:val="Akapitzlist"/>
        <w:numPr>
          <w:ilvl w:val="0"/>
          <w:numId w:val="2"/>
        </w:numPr>
        <w:tabs>
          <w:tab w:val="left" w:pos="567"/>
        </w:tabs>
        <w:spacing w:after="0" w:line="240" w:lineRule="auto"/>
        <w:ind w:left="284" w:hanging="284"/>
        <w:jc w:val="both"/>
        <w:rPr>
          <w:rFonts w:ascii="Verdana" w:eastAsiaTheme="minorHAnsi" w:hAnsi="Verdana"/>
          <w:sz w:val="15"/>
          <w:szCs w:val="15"/>
        </w:rPr>
      </w:pPr>
      <w:r w:rsidRPr="00EF5148">
        <w:rPr>
          <w:rFonts w:ascii="Verdana" w:hAnsi="Verdana" w:cs="Calibri"/>
          <w:sz w:val="15"/>
          <w:szCs w:val="15"/>
        </w:rPr>
        <w:t xml:space="preserve">Wszelka dokumentacja potwierdzająca wydatkowanie środków przez Ostatecznego Odbiorcę, powinna być, </w:t>
      </w:r>
      <w:r w:rsidRPr="00EF5148">
        <w:rPr>
          <w:rFonts w:ascii="Verdana" w:hAnsi="Verdana" w:cs="Calibri"/>
          <w:sz w:val="15"/>
          <w:szCs w:val="15"/>
        </w:rPr>
        <w:br/>
        <w:t>co do zasady, sporządzona w języku polskim, a w przypadku dokumentów wystawionych w innym języku, niż język polski, powinna zostać przetłumaczona na język polski przez Ostatecznego Odbiorcę lub na jego zlecenie.</w:t>
      </w:r>
    </w:p>
    <w:p w14:paraId="6A90C014" w14:textId="77777777" w:rsidR="007C41EF" w:rsidRPr="00EF5148" w:rsidRDefault="007C41EF" w:rsidP="005E133C">
      <w:pPr>
        <w:pStyle w:val="Akapitzlist"/>
        <w:numPr>
          <w:ilvl w:val="0"/>
          <w:numId w:val="2"/>
        </w:numPr>
        <w:tabs>
          <w:tab w:val="left" w:pos="567"/>
        </w:tabs>
        <w:spacing w:after="0" w:line="240" w:lineRule="auto"/>
        <w:ind w:left="284" w:hanging="284"/>
        <w:jc w:val="both"/>
        <w:rPr>
          <w:rFonts w:ascii="Verdana" w:eastAsiaTheme="minorHAnsi" w:hAnsi="Verdana"/>
          <w:sz w:val="15"/>
          <w:szCs w:val="15"/>
        </w:rPr>
      </w:pPr>
      <w:r w:rsidRPr="00EF5148">
        <w:rPr>
          <w:rFonts w:ascii="Verdana" w:hAnsi="Verdana" w:cs="Calibri"/>
          <w:color w:val="000000"/>
          <w:sz w:val="15"/>
          <w:szCs w:val="15"/>
        </w:rPr>
        <w:t xml:space="preserve">Z Jednostkowej Pożyczki finansowane są wydatki w kwotach brutto, tj. z podatkiem VAT, bez względu </w:t>
      </w:r>
      <w:r w:rsidRPr="00EF5148">
        <w:rPr>
          <w:rFonts w:ascii="Verdana" w:hAnsi="Verdana" w:cs="Calibri"/>
          <w:color w:val="000000"/>
          <w:sz w:val="15"/>
          <w:szCs w:val="15"/>
        </w:rPr>
        <w:br/>
        <w:t>na to czy Ostateczny Odbiorca ma prawną możliwość odzyskania naliczonego podatku VAT.</w:t>
      </w:r>
    </w:p>
    <w:p w14:paraId="4E25B74D" w14:textId="77777777" w:rsidR="007C41EF" w:rsidRPr="00EF5148" w:rsidRDefault="007C41EF" w:rsidP="00891E53">
      <w:pPr>
        <w:spacing w:before="60" w:after="20" w:line="240" w:lineRule="auto"/>
        <w:jc w:val="both"/>
        <w:rPr>
          <w:rFonts w:ascii="Verdana" w:hAnsi="Verdana"/>
          <w:b/>
          <w:sz w:val="15"/>
          <w:szCs w:val="15"/>
        </w:rPr>
      </w:pPr>
      <w:r w:rsidRPr="00EF5148">
        <w:rPr>
          <w:rFonts w:ascii="Verdana" w:hAnsi="Verdana"/>
          <w:b/>
          <w:sz w:val="15"/>
          <w:szCs w:val="15"/>
        </w:rPr>
        <w:t>III. Przeznaczenie finansowania (Cele Inwestycji)</w:t>
      </w:r>
    </w:p>
    <w:p w14:paraId="17F5DE5D" w14:textId="77777777" w:rsidR="007C41EF" w:rsidRPr="00EF5148" w:rsidRDefault="007C41EF" w:rsidP="005E133C">
      <w:pPr>
        <w:numPr>
          <w:ilvl w:val="0"/>
          <w:numId w:val="3"/>
        </w:numPr>
        <w:spacing w:after="0" w:line="240" w:lineRule="auto"/>
        <w:ind w:left="284" w:hanging="284"/>
        <w:contextualSpacing/>
        <w:jc w:val="both"/>
        <w:rPr>
          <w:rFonts w:ascii="Verdana" w:hAnsi="Verdana"/>
          <w:sz w:val="15"/>
          <w:szCs w:val="15"/>
        </w:rPr>
      </w:pPr>
      <w:r w:rsidRPr="00EF5148">
        <w:rPr>
          <w:rFonts w:ascii="Verdana" w:hAnsi="Verdana" w:cs="Calibri"/>
          <w:color w:val="000000"/>
          <w:sz w:val="15"/>
          <w:szCs w:val="15"/>
          <w:lang w:eastAsia="pl-PL"/>
        </w:rPr>
        <w:t>Środki Jednostkowej Pożyczki Płynnościowej muszą być przeznaczone na finansowanie bieżącej działalności                                                           w tym na zwiększenie kapitału obrotowego związanego z prowadzoną przez Ostatecznego Odbiorcę działalnością gospodarczą.</w:t>
      </w:r>
    </w:p>
    <w:p w14:paraId="62E992D7" w14:textId="39A2678E" w:rsidR="007C41EF" w:rsidRPr="00EF5148" w:rsidRDefault="007C41EF" w:rsidP="005E133C">
      <w:pPr>
        <w:numPr>
          <w:ilvl w:val="0"/>
          <w:numId w:val="3"/>
        </w:numPr>
        <w:spacing w:after="0" w:line="240" w:lineRule="auto"/>
        <w:ind w:left="284" w:hanging="284"/>
        <w:contextualSpacing/>
        <w:jc w:val="both"/>
        <w:rPr>
          <w:rFonts w:ascii="Verdana" w:hAnsi="Verdana"/>
          <w:sz w:val="15"/>
          <w:szCs w:val="15"/>
        </w:rPr>
      </w:pPr>
      <w:r w:rsidRPr="00EF5148">
        <w:rPr>
          <w:rFonts w:ascii="Verdana" w:hAnsi="Verdana" w:cs="Calibri"/>
          <w:color w:val="000000"/>
          <w:sz w:val="15"/>
          <w:szCs w:val="15"/>
          <w:lang w:eastAsia="pl-PL"/>
        </w:rPr>
        <w:t xml:space="preserve">Jednostkowa Pożyczka udzielana jest na finansowanie wydatków, w tym zobowiązań wynikających </w:t>
      </w:r>
      <w:r w:rsidR="00EF5148" w:rsidRPr="00EF5148">
        <w:rPr>
          <w:rFonts w:ascii="Verdana" w:hAnsi="Verdana" w:cs="Calibri"/>
          <w:color w:val="000000"/>
          <w:sz w:val="15"/>
          <w:szCs w:val="15"/>
          <w:lang w:eastAsia="pl-PL"/>
        </w:rPr>
        <w:br/>
      </w:r>
      <w:r w:rsidRPr="00EF5148">
        <w:rPr>
          <w:rFonts w:ascii="Verdana" w:hAnsi="Verdana" w:cs="Calibri"/>
          <w:color w:val="000000"/>
          <w:sz w:val="15"/>
          <w:szCs w:val="15"/>
          <w:lang w:eastAsia="pl-PL"/>
        </w:rPr>
        <w:t xml:space="preserve">z prowadzenia bieżącej działalności operacyjnej, które stały się wymagalne po 1 marca 2020 roku, </w:t>
      </w:r>
      <w:r w:rsidR="007F54DD">
        <w:rPr>
          <w:rFonts w:ascii="Verdana" w:hAnsi="Verdana" w:cs="Calibri"/>
          <w:color w:val="000000"/>
          <w:sz w:val="15"/>
          <w:szCs w:val="15"/>
          <w:lang w:eastAsia="pl-PL"/>
        </w:rPr>
        <w:br/>
      </w:r>
      <w:r w:rsidRPr="00EF5148">
        <w:rPr>
          <w:rFonts w:ascii="Verdana" w:hAnsi="Verdana" w:cs="Calibri"/>
          <w:color w:val="000000"/>
          <w:sz w:val="15"/>
          <w:szCs w:val="15"/>
          <w:lang w:eastAsia="pl-PL"/>
        </w:rPr>
        <w:t xml:space="preserve">które są niesporne, nie są objęte postępowaniem egzekucyjnym lub sądowym oraz nie uległy przedawnieniu. </w:t>
      </w:r>
    </w:p>
    <w:p w14:paraId="36EFDA4C" w14:textId="77777777" w:rsidR="007C41EF" w:rsidRPr="00EF5148" w:rsidRDefault="007C41EF" w:rsidP="005B272F">
      <w:pPr>
        <w:spacing w:before="120" w:after="20" w:line="240" w:lineRule="auto"/>
        <w:jc w:val="both"/>
        <w:rPr>
          <w:rFonts w:ascii="Verdana" w:hAnsi="Verdana"/>
          <w:b/>
          <w:sz w:val="15"/>
          <w:szCs w:val="15"/>
        </w:rPr>
      </w:pPr>
      <w:r w:rsidRPr="00EF5148">
        <w:rPr>
          <w:rFonts w:ascii="Verdana" w:hAnsi="Verdana"/>
          <w:b/>
          <w:sz w:val="15"/>
          <w:szCs w:val="15"/>
        </w:rPr>
        <w:t>IV. Wykluczenia i ograniczenia w finansowaniu</w:t>
      </w:r>
    </w:p>
    <w:p w14:paraId="2A966A21" w14:textId="77777777" w:rsidR="007C41EF" w:rsidRPr="00EF5148" w:rsidRDefault="007C41EF" w:rsidP="005E133C">
      <w:pPr>
        <w:numPr>
          <w:ilvl w:val="0"/>
          <w:numId w:val="6"/>
        </w:numPr>
        <w:spacing w:after="0" w:line="240" w:lineRule="auto"/>
        <w:ind w:left="284" w:hanging="284"/>
        <w:contextualSpacing/>
        <w:jc w:val="both"/>
        <w:rPr>
          <w:rFonts w:ascii="Verdana" w:hAnsi="Verdana"/>
          <w:sz w:val="15"/>
          <w:szCs w:val="15"/>
        </w:rPr>
      </w:pPr>
      <w:r w:rsidRPr="00EF5148">
        <w:rPr>
          <w:rFonts w:ascii="Verdana" w:hAnsi="Verdana"/>
          <w:sz w:val="15"/>
          <w:szCs w:val="15"/>
        </w:rPr>
        <w:t>Środki z Jednostkowej Pożyczki nie mogą być przeznaczone na:</w:t>
      </w:r>
    </w:p>
    <w:p w14:paraId="677249A1" w14:textId="3BDC4FBB"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 xml:space="preserve">finansowanie wydatków objętych wsparciem uprzednio lub planowanych do objęcia wsparciem </w:t>
      </w:r>
      <w:r w:rsidR="00EF5148" w:rsidRPr="00EF5148">
        <w:rPr>
          <w:rFonts w:ascii="Verdana" w:hAnsi="Verdana" w:cs="Calibri"/>
          <w:color w:val="000000"/>
          <w:sz w:val="15"/>
          <w:szCs w:val="15"/>
        </w:rPr>
        <w:br/>
      </w:r>
      <w:r w:rsidRPr="00EF5148">
        <w:rPr>
          <w:rFonts w:ascii="Verdana" w:hAnsi="Verdana" w:cs="Calibri"/>
          <w:color w:val="000000"/>
          <w:sz w:val="15"/>
          <w:szCs w:val="15"/>
        </w:rPr>
        <w:t xml:space="preserve">ze środków EFSI, z innych funduszy, programów, środków i instrumentów Unii Europejskiej </w:t>
      </w:r>
      <w:r w:rsidR="00EF5148" w:rsidRPr="00EF5148">
        <w:rPr>
          <w:rFonts w:ascii="Verdana" w:hAnsi="Verdana" w:cs="Calibri"/>
          <w:color w:val="000000"/>
          <w:sz w:val="15"/>
          <w:szCs w:val="15"/>
        </w:rPr>
        <w:br/>
      </w:r>
      <w:r w:rsidRPr="00EF5148">
        <w:rPr>
          <w:rFonts w:ascii="Verdana" w:hAnsi="Verdana" w:cs="Calibri"/>
          <w:color w:val="000000"/>
          <w:sz w:val="15"/>
          <w:szCs w:val="15"/>
        </w:rPr>
        <w:t>lub krajowych środków publicznych lub innych źródeł pomocy krajowej lub zagranicznej;</w:t>
      </w:r>
    </w:p>
    <w:p w14:paraId="267F96EE"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finansowanie wydatków o charakterze inwestycyjnym przez Ostatecznych Odbiorców, w tym środków trwałych, wartości niematerialnych i prawnych;</w:t>
      </w:r>
    </w:p>
    <w:p w14:paraId="07CE0274"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lastRenderedPageBreak/>
        <w:t>finansowanie zadań niezwiązanych bezpośrednio z prowadzoną przez Ostatecznego Odbiorcę działalnością gospodarczą;</w:t>
      </w:r>
    </w:p>
    <w:p w14:paraId="0540D564"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finansowanie kar pieniężnych, a także spłaty zobowiązań wynikających z prawomocnych wyroków sądowych;</w:t>
      </w:r>
    </w:p>
    <w:p w14:paraId="2347081D" w14:textId="235306D6"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 xml:space="preserve">finansowanie działalności w zakresie wytwarzania, przetwórstwa i/lub wprowadzania do obrotu </w:t>
      </w:r>
      <w:r w:rsidRPr="00EF5148">
        <w:rPr>
          <w:rFonts w:ascii="Verdana" w:hAnsi="Verdana" w:cs="Calibri"/>
          <w:color w:val="000000"/>
          <w:sz w:val="15"/>
          <w:szCs w:val="15"/>
        </w:rPr>
        <w:br/>
        <w:t xml:space="preserve">przez producenta lub importera: tytoniu i/lub wyrobów tytoniowych, e-papierosów, napojów alkoholowych </w:t>
      </w:r>
      <w:r w:rsidRPr="00EF5148">
        <w:rPr>
          <w:rFonts w:ascii="Verdana" w:hAnsi="Verdana" w:cs="Calibri"/>
          <w:color w:val="000000"/>
          <w:sz w:val="15"/>
          <w:szCs w:val="15"/>
        </w:rPr>
        <w:br/>
        <w:t xml:space="preserve">(z wyłączeniem napojów o zawartości alkoholu poniżej 18%, wytwarzanych w województwie wielkopolskim przez regionalnych producentów), treści pornograficznych, materiałów wybuchowych, broni i amunicji, środków odurzających, substancji psychotropowych lub prekursorów, gier losowych, zakładów wzajemnych, </w:t>
      </w:r>
      <w:r w:rsidR="005234B9">
        <w:rPr>
          <w:rFonts w:ascii="Verdana" w:hAnsi="Verdana" w:cs="Calibri"/>
          <w:color w:val="000000"/>
          <w:sz w:val="15"/>
          <w:szCs w:val="15"/>
        </w:rPr>
        <w:br/>
      </w:r>
      <w:r w:rsidRPr="00EF5148">
        <w:rPr>
          <w:rFonts w:ascii="Verdana" w:hAnsi="Verdana" w:cs="Calibri"/>
          <w:color w:val="000000"/>
          <w:sz w:val="15"/>
          <w:szCs w:val="15"/>
        </w:rPr>
        <w:t>gier na automatach, w tym o niskich wygranych;</w:t>
      </w:r>
    </w:p>
    <w:p w14:paraId="770F0F82"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finansowanie inwestycji kapitałowych, udziałów, akcji, papierów wartościowych itp.;</w:t>
      </w:r>
    </w:p>
    <w:p w14:paraId="17D2D94D"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finansowanie kosztów utrzymania nieruchomości mających przeznaczenie mieszkalne;</w:t>
      </w:r>
    </w:p>
    <w:p w14:paraId="0EE7282E" w14:textId="17AE0A7C"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finansowanie kosztów utrzymania mieszkań przeznaczonych na wynajem</w:t>
      </w:r>
      <w:r w:rsidR="005234B9">
        <w:rPr>
          <w:rFonts w:ascii="Verdana" w:hAnsi="Verdana" w:cs="Calibri"/>
          <w:color w:val="000000"/>
          <w:sz w:val="15"/>
          <w:szCs w:val="15"/>
        </w:rPr>
        <w:t xml:space="preserve"> </w:t>
      </w:r>
      <w:r w:rsidRPr="00EF5148">
        <w:rPr>
          <w:rFonts w:ascii="Verdana" w:hAnsi="Verdana" w:cs="Calibri"/>
          <w:color w:val="000000"/>
          <w:sz w:val="15"/>
          <w:szCs w:val="15"/>
        </w:rPr>
        <w:t xml:space="preserve">(zarówno krótko- </w:t>
      </w:r>
      <w:r w:rsidR="005234B9">
        <w:rPr>
          <w:rFonts w:ascii="Verdana" w:hAnsi="Verdana" w:cs="Calibri"/>
          <w:color w:val="000000"/>
          <w:sz w:val="15"/>
          <w:szCs w:val="15"/>
        </w:rPr>
        <w:br/>
      </w:r>
      <w:r w:rsidRPr="00EF5148">
        <w:rPr>
          <w:rFonts w:ascii="Verdana" w:hAnsi="Verdana" w:cs="Calibri"/>
          <w:color w:val="000000"/>
          <w:sz w:val="15"/>
          <w:szCs w:val="15"/>
        </w:rPr>
        <w:t xml:space="preserve">jak i długoterminowy), leasing, dzierżawę, </w:t>
      </w:r>
      <w:proofErr w:type="spellStart"/>
      <w:r w:rsidRPr="00EF5148">
        <w:rPr>
          <w:rFonts w:ascii="Verdana" w:hAnsi="Verdana" w:cs="Calibri"/>
          <w:color w:val="000000"/>
          <w:sz w:val="15"/>
          <w:szCs w:val="15"/>
        </w:rPr>
        <w:t>time-sharing</w:t>
      </w:r>
      <w:proofErr w:type="spellEnd"/>
      <w:r w:rsidRPr="00EF5148">
        <w:rPr>
          <w:rFonts w:ascii="Verdana" w:hAnsi="Verdana" w:cs="Calibri"/>
          <w:color w:val="000000"/>
          <w:sz w:val="15"/>
          <w:szCs w:val="15"/>
        </w:rPr>
        <w:t>, itp., z zastrzeżeniem, że f</w:t>
      </w:r>
      <w:r w:rsidRPr="00EF5148">
        <w:rPr>
          <w:rFonts w:ascii="Verdana" w:hAnsi="Verdana"/>
          <w:sz w:val="15"/>
          <w:szCs w:val="15"/>
        </w:rPr>
        <w:t xml:space="preserve">inansowane </w:t>
      </w:r>
      <w:r w:rsidR="005234B9">
        <w:rPr>
          <w:rFonts w:ascii="Verdana" w:hAnsi="Verdana"/>
          <w:sz w:val="15"/>
          <w:szCs w:val="15"/>
        </w:rPr>
        <w:br/>
      </w:r>
      <w:r w:rsidRPr="00EF5148">
        <w:rPr>
          <w:rFonts w:ascii="Verdana" w:hAnsi="Verdana"/>
          <w:sz w:val="15"/>
          <w:szCs w:val="15"/>
        </w:rPr>
        <w:t>może być natomiast utrzymanie nieruchomości przeznaczonych np. na działalność hotelową lub hostelową;</w:t>
      </w:r>
    </w:p>
    <w:p w14:paraId="54FD31F2"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finansowanie przedsięwzięć w zakresie produkcji i pierwszego etapu przetwórstwa produktów rolnych;</w:t>
      </w:r>
    </w:p>
    <w:p w14:paraId="1071E476"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 xml:space="preserve">finansowanie działalności w pozostałych sektorach wykluczonych z dostępu do pomocy </w:t>
      </w:r>
      <w:r w:rsidRPr="00EF5148">
        <w:rPr>
          <w:rFonts w:ascii="Verdana" w:hAnsi="Verdana" w:cs="Calibri"/>
          <w:i/>
          <w:iCs/>
          <w:color w:val="000000"/>
          <w:sz w:val="15"/>
          <w:szCs w:val="15"/>
        </w:rPr>
        <w:t xml:space="preserve">de </w:t>
      </w:r>
      <w:proofErr w:type="spellStart"/>
      <w:r w:rsidRPr="00EF5148">
        <w:rPr>
          <w:rFonts w:ascii="Verdana" w:hAnsi="Verdana" w:cs="Calibri"/>
          <w:i/>
          <w:iCs/>
          <w:color w:val="000000"/>
          <w:sz w:val="15"/>
          <w:szCs w:val="15"/>
        </w:rPr>
        <w:t>minimis</w:t>
      </w:r>
      <w:proofErr w:type="spellEnd"/>
      <w:r w:rsidRPr="00EF5148">
        <w:rPr>
          <w:rFonts w:ascii="Verdana" w:hAnsi="Verdana" w:cs="Calibri"/>
          <w:i/>
          <w:iCs/>
          <w:color w:val="000000"/>
          <w:sz w:val="15"/>
          <w:szCs w:val="15"/>
        </w:rPr>
        <w:t xml:space="preserve"> </w:t>
      </w:r>
      <w:r w:rsidRPr="00EF5148">
        <w:rPr>
          <w:rFonts w:ascii="Verdana" w:hAnsi="Verdana" w:cs="Calibri"/>
          <w:i/>
          <w:iCs/>
          <w:color w:val="000000"/>
          <w:sz w:val="15"/>
          <w:szCs w:val="15"/>
        </w:rPr>
        <w:br/>
      </w:r>
      <w:r w:rsidRPr="00EF5148">
        <w:rPr>
          <w:rFonts w:ascii="Verdana" w:hAnsi="Verdana" w:cs="Calibri"/>
          <w:color w:val="000000"/>
          <w:sz w:val="15"/>
          <w:szCs w:val="15"/>
        </w:rPr>
        <w:t xml:space="preserve">(jeżeli dotyczy); </w:t>
      </w:r>
    </w:p>
    <w:p w14:paraId="7C564AA5" w14:textId="77777777" w:rsidR="007C41EF" w:rsidRPr="00EF5148" w:rsidRDefault="007C41EF" w:rsidP="005E133C">
      <w:pPr>
        <w:pStyle w:val="Akapitzlist"/>
        <w:numPr>
          <w:ilvl w:val="0"/>
          <w:numId w:val="7"/>
        </w:numPr>
        <w:autoSpaceDE w:val="0"/>
        <w:autoSpaceDN w:val="0"/>
        <w:adjustRightInd w:val="0"/>
        <w:spacing w:after="0" w:line="240" w:lineRule="auto"/>
        <w:jc w:val="both"/>
        <w:rPr>
          <w:rFonts w:ascii="Verdana" w:hAnsi="Verdana" w:cs="Calibri"/>
          <w:color w:val="000000"/>
          <w:sz w:val="15"/>
          <w:szCs w:val="15"/>
        </w:rPr>
      </w:pPr>
      <w:r w:rsidRPr="00EF5148">
        <w:rPr>
          <w:rFonts w:ascii="Verdana" w:hAnsi="Verdana" w:cs="Calibri"/>
          <w:color w:val="000000"/>
          <w:sz w:val="15"/>
          <w:szCs w:val="15"/>
        </w:rPr>
        <w:t xml:space="preserve">finansowanie wydatków, których finansowanie ze środków publicznych jest wykluczone na mocy obowiązujących przepisów prawa. </w:t>
      </w:r>
    </w:p>
    <w:p w14:paraId="157A9C99" w14:textId="77777777" w:rsidR="007C41EF" w:rsidRPr="00EF5148" w:rsidRDefault="007C41EF" w:rsidP="005E133C">
      <w:pPr>
        <w:numPr>
          <w:ilvl w:val="0"/>
          <w:numId w:val="6"/>
        </w:numPr>
        <w:spacing w:after="0" w:line="240" w:lineRule="auto"/>
        <w:ind w:left="284" w:hanging="284"/>
        <w:contextualSpacing/>
        <w:jc w:val="both"/>
        <w:rPr>
          <w:rFonts w:ascii="Verdana" w:hAnsi="Verdana"/>
          <w:sz w:val="15"/>
          <w:szCs w:val="15"/>
          <w:lang w:eastAsia="pl-PL"/>
        </w:rPr>
      </w:pPr>
      <w:r w:rsidRPr="00EF5148">
        <w:rPr>
          <w:rFonts w:ascii="Verdana" w:hAnsi="Verdana"/>
          <w:sz w:val="15"/>
          <w:szCs w:val="15"/>
          <w:lang w:eastAsia="ar-SA"/>
        </w:rPr>
        <w:t>Przedsiębiorca zobowiązany jest do przestrzegania zasad dotyczących unikania nakładania się finansowania przyznanego w ramach pożyczki z finansowaniem z innych źródeł pomocy krajowej i zagranicznej.</w:t>
      </w:r>
    </w:p>
    <w:p w14:paraId="7C1E7B6D" w14:textId="63D08EE6" w:rsidR="007C41EF" w:rsidRPr="00EF5148" w:rsidRDefault="007C41EF" w:rsidP="00891E53">
      <w:pPr>
        <w:spacing w:before="60" w:after="20" w:line="240" w:lineRule="auto"/>
        <w:jc w:val="both"/>
        <w:rPr>
          <w:rFonts w:ascii="Verdana" w:hAnsi="Verdana"/>
          <w:b/>
          <w:sz w:val="15"/>
          <w:szCs w:val="15"/>
        </w:rPr>
      </w:pPr>
      <w:r w:rsidRPr="00EF5148">
        <w:rPr>
          <w:rFonts w:ascii="Verdana" w:hAnsi="Verdana"/>
          <w:b/>
          <w:sz w:val="15"/>
          <w:szCs w:val="15"/>
        </w:rPr>
        <w:t xml:space="preserve">V. Zasady odpłatności za udzielenie </w:t>
      </w:r>
      <w:r w:rsidR="00BB4E3E" w:rsidRPr="00EF5148">
        <w:rPr>
          <w:rFonts w:ascii="Verdana" w:hAnsi="Verdana"/>
          <w:b/>
          <w:sz w:val="15"/>
          <w:szCs w:val="15"/>
        </w:rPr>
        <w:t>pożyczki</w:t>
      </w:r>
    </w:p>
    <w:p w14:paraId="38720853" w14:textId="54780EAE" w:rsidR="007C41EF" w:rsidRPr="00EF5148" w:rsidRDefault="007C41EF" w:rsidP="005E133C">
      <w:pPr>
        <w:pStyle w:val="Akapitzlist"/>
        <w:numPr>
          <w:ilvl w:val="0"/>
          <w:numId w:val="8"/>
        </w:numPr>
        <w:spacing w:after="0" w:line="240" w:lineRule="auto"/>
        <w:ind w:left="360"/>
        <w:jc w:val="both"/>
        <w:rPr>
          <w:rFonts w:ascii="Verdana" w:hAnsi="Verdana"/>
          <w:b/>
          <w:sz w:val="15"/>
          <w:szCs w:val="15"/>
        </w:rPr>
      </w:pPr>
      <w:r w:rsidRPr="00EF5148">
        <w:rPr>
          <w:rFonts w:ascii="Verdana" w:hAnsi="Verdana"/>
          <w:sz w:val="15"/>
          <w:szCs w:val="15"/>
        </w:rPr>
        <w:t>Pożyczka może być oprocentowana:</w:t>
      </w:r>
    </w:p>
    <w:p w14:paraId="09B61838" w14:textId="6636829A" w:rsidR="007C41EF" w:rsidRPr="00D227F5" w:rsidRDefault="007C41EF" w:rsidP="005E133C">
      <w:pPr>
        <w:pStyle w:val="Akapitzlist"/>
        <w:numPr>
          <w:ilvl w:val="0"/>
          <w:numId w:val="9"/>
        </w:numPr>
        <w:spacing w:after="0" w:line="240" w:lineRule="auto"/>
        <w:ind w:left="723"/>
        <w:jc w:val="both"/>
        <w:rPr>
          <w:rFonts w:ascii="Verdana" w:hAnsi="Verdana" w:cs="Calibri"/>
          <w:sz w:val="15"/>
          <w:szCs w:val="15"/>
        </w:rPr>
      </w:pPr>
      <w:r w:rsidRPr="00EF5148">
        <w:rPr>
          <w:rFonts w:ascii="Verdana" w:hAnsi="Verdana" w:cs="Calibri"/>
          <w:sz w:val="15"/>
          <w:szCs w:val="15"/>
        </w:rPr>
        <w:t xml:space="preserve">na warunkach korzystniejszych niż rynkowe zgodnie </w:t>
      </w:r>
      <w:r w:rsidRPr="00D227F5">
        <w:rPr>
          <w:rFonts w:ascii="Verdana" w:hAnsi="Verdana" w:cs="Calibri"/>
          <w:sz w:val="15"/>
          <w:szCs w:val="15"/>
        </w:rPr>
        <w:t xml:space="preserve">z zasadami udzielania pomocy </w:t>
      </w:r>
      <w:r w:rsidRPr="00D227F5">
        <w:rPr>
          <w:rFonts w:ascii="Verdana" w:hAnsi="Verdana" w:cs="Calibri"/>
          <w:i/>
          <w:iCs/>
          <w:sz w:val="15"/>
          <w:szCs w:val="15"/>
        </w:rPr>
        <w:t xml:space="preserve">de </w:t>
      </w:r>
      <w:proofErr w:type="spellStart"/>
      <w:r w:rsidRPr="00D227F5">
        <w:rPr>
          <w:rFonts w:ascii="Verdana" w:hAnsi="Verdana" w:cs="Calibri"/>
          <w:i/>
          <w:iCs/>
          <w:sz w:val="15"/>
          <w:szCs w:val="15"/>
        </w:rPr>
        <w:t>minimis</w:t>
      </w:r>
      <w:proofErr w:type="spellEnd"/>
      <w:r w:rsidRPr="00D227F5">
        <w:rPr>
          <w:rFonts w:ascii="Verdana" w:hAnsi="Verdana" w:cs="Calibri"/>
          <w:sz w:val="15"/>
          <w:szCs w:val="15"/>
        </w:rPr>
        <w:t xml:space="preserve">, </w:t>
      </w:r>
      <w:r w:rsidR="00EF5148" w:rsidRPr="00D227F5">
        <w:rPr>
          <w:rFonts w:ascii="Verdana" w:hAnsi="Verdana" w:cs="Calibri"/>
          <w:sz w:val="15"/>
          <w:szCs w:val="15"/>
        </w:rPr>
        <w:br/>
      </w:r>
      <w:r w:rsidRPr="00D227F5">
        <w:rPr>
          <w:rFonts w:ascii="Verdana" w:hAnsi="Verdana" w:cs="Calibri"/>
          <w:sz w:val="15"/>
          <w:szCs w:val="15"/>
        </w:rPr>
        <w:t xml:space="preserve">przy czym oprocentowanie Jednostkowej Pożyczki jest stałe w całym okresie jej obowiązywania i wynosi 0% </w:t>
      </w:r>
      <w:r w:rsidR="005234B9" w:rsidRPr="00D227F5">
        <w:rPr>
          <w:rFonts w:ascii="Verdana" w:hAnsi="Verdana" w:cs="Calibri"/>
          <w:sz w:val="15"/>
          <w:szCs w:val="15"/>
        </w:rPr>
        <w:br/>
      </w:r>
      <w:r w:rsidRPr="00D227F5">
        <w:rPr>
          <w:rFonts w:ascii="Verdana" w:hAnsi="Verdana" w:cs="Calibri"/>
          <w:sz w:val="15"/>
          <w:szCs w:val="15"/>
        </w:rPr>
        <w:t xml:space="preserve">w skali roku </w:t>
      </w:r>
      <w:r w:rsidR="00F0172E" w:rsidRPr="00D227F5">
        <w:rPr>
          <w:rFonts w:ascii="Verdana" w:hAnsi="Verdana"/>
          <w:sz w:val="15"/>
          <w:szCs w:val="15"/>
        </w:rPr>
        <w:t>albo</w:t>
      </w:r>
    </w:p>
    <w:p w14:paraId="29CBDB6F" w14:textId="6FC00767" w:rsidR="007C41EF" w:rsidRPr="005B272F" w:rsidRDefault="007C41EF" w:rsidP="00A40CAC">
      <w:pPr>
        <w:pStyle w:val="Akapitzlist"/>
        <w:numPr>
          <w:ilvl w:val="0"/>
          <w:numId w:val="9"/>
        </w:numPr>
        <w:spacing w:after="0" w:line="240" w:lineRule="auto"/>
        <w:ind w:left="723"/>
        <w:jc w:val="both"/>
        <w:rPr>
          <w:rFonts w:ascii="Verdana" w:hAnsi="Verdana" w:cs="Calibri"/>
          <w:sz w:val="15"/>
          <w:szCs w:val="15"/>
        </w:rPr>
      </w:pPr>
      <w:r w:rsidRPr="00D227F5">
        <w:rPr>
          <w:rFonts w:ascii="Verdana" w:hAnsi="Verdana" w:cs="Calibri"/>
          <w:sz w:val="15"/>
          <w:szCs w:val="15"/>
        </w:rPr>
        <w:t xml:space="preserve">na warunkach korzystniejszych niż rynkowe, w wysokości i zgodnie z zasadami </w:t>
      </w:r>
      <w:r w:rsidR="00A40CAC" w:rsidRPr="00D227F5">
        <w:rPr>
          <w:rFonts w:ascii="Verdana" w:hAnsi="Verdana" w:cs="Calibri"/>
          <w:iCs/>
          <w:sz w:val="15"/>
          <w:szCs w:val="15"/>
        </w:rPr>
        <w:t>R</w:t>
      </w:r>
      <w:r w:rsidR="00A40CAC" w:rsidRPr="00D227F5">
        <w:rPr>
          <w:rFonts w:ascii="Verdana" w:hAnsi="Verdana" w:cs="Calibri"/>
          <w:color w:val="000000"/>
          <w:sz w:val="15"/>
          <w:szCs w:val="15"/>
        </w:rPr>
        <w:t xml:space="preserve">ozporządzenia Ministra Funduszy i Polityki Regionalnej z dnia 29 kwietnia 2020 roku </w:t>
      </w:r>
      <w:r w:rsidR="00A40CAC" w:rsidRPr="00D227F5">
        <w:rPr>
          <w:rFonts w:ascii="Verdana" w:hAnsi="Verdana" w:cs="Calibri"/>
          <w:iCs/>
          <w:color w:val="000000"/>
          <w:sz w:val="15"/>
          <w:szCs w:val="15"/>
        </w:rPr>
        <w:t xml:space="preserve">w sprawie udzielania pomocy ze środków instrumentów inżynierii finansowej podlegających ponownemu wykorzystaniu w celu wspierania polskiej gospodarki w związku z wystąpieniem pandemii COVID-19, zmienionego </w:t>
      </w:r>
      <w:r w:rsidR="00A40CAC" w:rsidRPr="00D227F5">
        <w:rPr>
          <w:rFonts w:ascii="Verdana" w:hAnsi="Verdana"/>
          <w:sz w:val="15"/>
          <w:szCs w:val="15"/>
        </w:rPr>
        <w:t xml:space="preserve">Rozporządzeniem Ministra Finansów, Funduszy i Polityki Regionalnej z dnia 9 listopada 2020 roku, </w:t>
      </w:r>
      <w:r w:rsidR="00A40CAC" w:rsidRPr="00D227F5">
        <w:rPr>
          <w:rFonts w:ascii="Verdana" w:hAnsi="Verdana" w:cs="Calibri"/>
          <w:sz w:val="15"/>
          <w:szCs w:val="15"/>
        </w:rPr>
        <w:t xml:space="preserve">przy czym oprocentowanie Jednostkowej Pożyczki jest stałe w całym okresie jej obowiązywania i jest </w:t>
      </w:r>
      <w:r w:rsidR="00A40CAC" w:rsidRPr="00D227F5">
        <w:rPr>
          <w:rFonts w:ascii="Verdana" w:hAnsi="Verdana" w:cs="Calibri"/>
          <w:color w:val="000000"/>
          <w:sz w:val="15"/>
          <w:szCs w:val="15"/>
        </w:rPr>
        <w:t xml:space="preserve">równe </w:t>
      </w:r>
      <w:r w:rsidR="00A40CAC" w:rsidRPr="00D227F5">
        <w:rPr>
          <w:rFonts w:ascii="Verdana" w:hAnsi="Verdana"/>
          <w:sz w:val="15"/>
          <w:szCs w:val="15"/>
        </w:rPr>
        <w:t>stopie bazowej ogłaszanej przez Komisję Europejską, obowiązującej na dzień 1 października 2020 roku (0,29%)</w:t>
      </w:r>
      <w:r w:rsidRPr="00D227F5">
        <w:rPr>
          <w:rFonts w:ascii="Verdana" w:hAnsi="Verdana"/>
          <w:sz w:val="15"/>
          <w:szCs w:val="15"/>
        </w:rPr>
        <w:t>, powiększonej</w:t>
      </w:r>
      <w:r w:rsidRPr="005B272F">
        <w:rPr>
          <w:rFonts w:ascii="Verdana" w:hAnsi="Verdana"/>
          <w:sz w:val="15"/>
          <w:szCs w:val="15"/>
        </w:rPr>
        <w:t xml:space="preserve"> o marżę ryzyka kredytowego wynoszącej 25 punktów bazowych w przypadku pożyczki z terminem zapadalności wynoszącym 1 rok, 50 punktów bazowych w przypadku pożyczki z terminem zapadalności wynoszącym 2 – 3 lata, </w:t>
      </w:r>
      <w:r w:rsidR="00CB24FA">
        <w:rPr>
          <w:rFonts w:ascii="Verdana" w:hAnsi="Verdana"/>
          <w:sz w:val="15"/>
          <w:szCs w:val="15"/>
        </w:rPr>
        <w:t xml:space="preserve">             </w:t>
      </w:r>
      <w:r w:rsidRPr="005B272F">
        <w:rPr>
          <w:rFonts w:ascii="Verdana" w:hAnsi="Verdana"/>
          <w:sz w:val="15"/>
          <w:szCs w:val="15"/>
        </w:rPr>
        <w:t>100 punktów</w:t>
      </w:r>
      <w:r w:rsidR="00BB4E3E" w:rsidRPr="005B272F">
        <w:rPr>
          <w:rFonts w:ascii="Verdana" w:hAnsi="Verdana"/>
          <w:sz w:val="15"/>
          <w:szCs w:val="15"/>
        </w:rPr>
        <w:t xml:space="preserve"> </w:t>
      </w:r>
      <w:r w:rsidRPr="005B272F">
        <w:rPr>
          <w:rFonts w:ascii="Verdana" w:hAnsi="Verdana"/>
          <w:sz w:val="15"/>
          <w:szCs w:val="15"/>
        </w:rPr>
        <w:t>bazowych w przypadku pożyczki z terminem zapadalności wynoszącym 4 – 6 lat</w:t>
      </w:r>
      <w:r w:rsidR="000A333C" w:rsidRPr="005B272F">
        <w:rPr>
          <w:rFonts w:ascii="Verdana" w:hAnsi="Verdana"/>
          <w:sz w:val="15"/>
          <w:szCs w:val="15"/>
        </w:rPr>
        <w:t>,</w:t>
      </w:r>
      <w:r w:rsidRPr="005B272F">
        <w:rPr>
          <w:rFonts w:ascii="Verdana" w:hAnsi="Verdana" w:cs="Calibri"/>
          <w:iCs/>
          <w:color w:val="000000"/>
          <w:sz w:val="15"/>
          <w:szCs w:val="15"/>
        </w:rPr>
        <w:t xml:space="preserve"> </w:t>
      </w:r>
      <w:r w:rsidR="00CB24FA">
        <w:rPr>
          <w:rFonts w:ascii="Verdana" w:hAnsi="Verdana" w:cs="Calibri"/>
          <w:iCs/>
          <w:color w:val="000000"/>
          <w:sz w:val="15"/>
          <w:szCs w:val="15"/>
        </w:rPr>
        <w:t xml:space="preserve">                        </w:t>
      </w:r>
      <w:r w:rsidR="004B5654" w:rsidRPr="005B272F">
        <w:rPr>
          <w:rFonts w:ascii="Verdana" w:hAnsi="Verdana"/>
          <w:sz w:val="15"/>
          <w:szCs w:val="15"/>
        </w:rPr>
        <w:t xml:space="preserve">z zastrzeżeniem zmiany oprocentowania w przypadku zmiany terminu zapadalności pożyczki, skutkującego zmianą marży ryzyka kredytowego </w:t>
      </w:r>
      <w:r w:rsidR="004B5654" w:rsidRPr="005B272F">
        <w:rPr>
          <w:rFonts w:ascii="Verdana" w:hAnsi="Verdana" w:cs="Calibri"/>
          <w:iCs/>
          <w:color w:val="000000"/>
          <w:sz w:val="15"/>
          <w:szCs w:val="15"/>
        </w:rPr>
        <w:t>albo</w:t>
      </w:r>
    </w:p>
    <w:p w14:paraId="0CAE08EB" w14:textId="486E013F" w:rsidR="007C41EF" w:rsidRPr="00EF5148" w:rsidRDefault="007C41EF" w:rsidP="005E133C">
      <w:pPr>
        <w:pStyle w:val="Akapitzlist"/>
        <w:numPr>
          <w:ilvl w:val="0"/>
          <w:numId w:val="9"/>
        </w:numPr>
        <w:spacing w:after="0" w:line="240" w:lineRule="auto"/>
        <w:ind w:left="723"/>
        <w:jc w:val="both"/>
        <w:rPr>
          <w:rFonts w:ascii="Verdana" w:hAnsi="Verdana" w:cs="Calibri"/>
          <w:sz w:val="15"/>
          <w:szCs w:val="15"/>
        </w:rPr>
      </w:pPr>
      <w:r w:rsidRPr="005B272F">
        <w:rPr>
          <w:rFonts w:ascii="Verdana" w:hAnsi="Verdana" w:cs="Calibri"/>
          <w:sz w:val="15"/>
          <w:szCs w:val="15"/>
        </w:rPr>
        <w:t>na warunkach rynkowych, według stopy referencyjnej obliczanej przy zastosowaniu obowiązującej stopy bazowej oraz marży ustalonej w oparciu o Komunikat Komisji Europejskiej w sprawie zmiany metody ustalania stóp referencyjnych i dyskontowych (Dz.</w:t>
      </w:r>
      <w:r w:rsidRPr="00EF5148">
        <w:rPr>
          <w:rFonts w:ascii="Verdana" w:hAnsi="Verdana" w:cs="Calibri"/>
          <w:sz w:val="15"/>
          <w:szCs w:val="15"/>
        </w:rPr>
        <w:t xml:space="preserve"> Urz. UE 2008/C14/02 lub komunikat zastępujący). </w:t>
      </w:r>
      <w:r w:rsidR="005234B9">
        <w:rPr>
          <w:rFonts w:ascii="Verdana" w:hAnsi="Verdana" w:cs="Calibri"/>
          <w:sz w:val="15"/>
          <w:szCs w:val="15"/>
        </w:rPr>
        <w:br/>
      </w:r>
      <w:r w:rsidRPr="00EF5148">
        <w:rPr>
          <w:rFonts w:ascii="Verdana" w:hAnsi="Verdana" w:cs="Calibri"/>
          <w:sz w:val="15"/>
          <w:szCs w:val="15"/>
        </w:rPr>
        <w:t xml:space="preserve">Wysokość oprocentowania związana jest z wynikiem analizy poziomu ryzyka niespłacenia zaciągniętego </w:t>
      </w:r>
      <w:r w:rsidR="00D227F5">
        <w:rPr>
          <w:rFonts w:ascii="Verdana" w:hAnsi="Verdana" w:cs="Calibri"/>
          <w:sz w:val="15"/>
          <w:szCs w:val="15"/>
        </w:rPr>
        <w:t xml:space="preserve">               </w:t>
      </w:r>
      <w:r w:rsidRPr="00EF5148">
        <w:rPr>
          <w:rFonts w:ascii="Verdana" w:hAnsi="Verdana" w:cs="Calibri"/>
          <w:sz w:val="15"/>
          <w:szCs w:val="15"/>
        </w:rPr>
        <w:t xml:space="preserve">przez Ostatecznego Odbiorcę zobowiązania, przy zastosowaniu przyjętej u Pośrednika Finansowego </w:t>
      </w:r>
      <w:r w:rsidR="00D227F5">
        <w:rPr>
          <w:rFonts w:ascii="Verdana" w:hAnsi="Verdana" w:cs="Calibri"/>
          <w:sz w:val="15"/>
          <w:szCs w:val="15"/>
        </w:rPr>
        <w:t xml:space="preserve">                                 </w:t>
      </w:r>
      <w:r w:rsidRPr="00EF5148">
        <w:rPr>
          <w:rFonts w:ascii="Verdana" w:hAnsi="Verdana" w:cs="Calibri"/>
          <w:sz w:val="15"/>
          <w:szCs w:val="15"/>
        </w:rPr>
        <w:t>i akceptowanej w sektorze finansowym Metodyki oceny ryzyka.</w:t>
      </w:r>
      <w:bookmarkStart w:id="2" w:name="page8"/>
      <w:bookmarkEnd w:id="2"/>
    </w:p>
    <w:p w14:paraId="6EC79E79" w14:textId="77777777" w:rsidR="007C41EF" w:rsidRPr="00EF5148" w:rsidRDefault="007C41EF" w:rsidP="005E133C">
      <w:pPr>
        <w:pStyle w:val="Akapitzlist"/>
        <w:numPr>
          <w:ilvl w:val="0"/>
          <w:numId w:val="1"/>
        </w:numPr>
        <w:spacing w:after="0" w:line="240" w:lineRule="auto"/>
        <w:ind w:left="360"/>
        <w:jc w:val="both"/>
        <w:rPr>
          <w:rFonts w:ascii="Verdana" w:hAnsi="Verdana" w:cs="Calibri"/>
          <w:sz w:val="15"/>
          <w:szCs w:val="15"/>
        </w:rPr>
      </w:pPr>
      <w:r w:rsidRPr="00EF5148">
        <w:rPr>
          <w:rFonts w:ascii="Verdana" w:hAnsi="Verdana" w:cs="Calibri"/>
          <w:color w:val="000000"/>
          <w:sz w:val="15"/>
          <w:szCs w:val="15"/>
        </w:rPr>
        <w:t xml:space="preserve">W przypadku niespełnienia przez Ostatecznego Odbiorcę jakiegokolwiek z warunków umożliwiających udzielenie pomocy de </w:t>
      </w:r>
      <w:proofErr w:type="spellStart"/>
      <w:r w:rsidRPr="00EF5148">
        <w:rPr>
          <w:rFonts w:ascii="Verdana" w:hAnsi="Verdana" w:cs="Calibri"/>
          <w:color w:val="000000"/>
          <w:sz w:val="15"/>
          <w:szCs w:val="15"/>
        </w:rPr>
        <w:t>minimis</w:t>
      </w:r>
      <w:proofErr w:type="spellEnd"/>
      <w:r w:rsidRPr="00EF5148">
        <w:rPr>
          <w:rFonts w:ascii="Verdana" w:hAnsi="Verdana" w:cs="Calibri"/>
          <w:color w:val="000000"/>
          <w:sz w:val="15"/>
          <w:szCs w:val="15"/>
        </w:rPr>
        <w:t xml:space="preserve"> lub pomocy zgodnie z programem pomocowym, finansowanie jest udzielane na warunkach rynkowych.</w:t>
      </w:r>
    </w:p>
    <w:p w14:paraId="4E6B1A43" w14:textId="460E8746" w:rsidR="007C41EF" w:rsidRPr="00EF5148" w:rsidRDefault="00EA1D2B" w:rsidP="005E133C">
      <w:pPr>
        <w:pStyle w:val="Akapitzlist"/>
        <w:numPr>
          <w:ilvl w:val="0"/>
          <w:numId w:val="1"/>
        </w:numPr>
        <w:spacing w:after="0" w:line="240" w:lineRule="auto"/>
        <w:ind w:left="360"/>
        <w:jc w:val="both"/>
        <w:rPr>
          <w:rFonts w:ascii="Verdana" w:hAnsi="Verdana" w:cs="Calibri"/>
          <w:sz w:val="15"/>
          <w:szCs w:val="15"/>
        </w:rPr>
      </w:pPr>
      <w:r>
        <w:rPr>
          <w:rFonts w:ascii="Verdana" w:hAnsi="Verdana" w:cs="Calibri"/>
          <w:sz w:val="15"/>
          <w:szCs w:val="15"/>
        </w:rPr>
        <w:t>Pośrednik Finansowy</w:t>
      </w:r>
      <w:r w:rsidR="007C41EF" w:rsidRPr="00EF5148">
        <w:rPr>
          <w:rFonts w:ascii="Verdana" w:hAnsi="Verdana" w:cs="Calibri"/>
          <w:sz w:val="15"/>
          <w:szCs w:val="15"/>
        </w:rPr>
        <w:t xml:space="preserve"> nie pobiera od Ostatecznego Odbiorcy żadnych opłat i prowizji związanych z udzieleniem </w:t>
      </w:r>
      <w:r w:rsidR="00EF5148" w:rsidRPr="00EF5148">
        <w:rPr>
          <w:rFonts w:ascii="Verdana" w:hAnsi="Verdana" w:cs="Calibri"/>
          <w:sz w:val="15"/>
          <w:szCs w:val="15"/>
        </w:rPr>
        <w:br/>
      </w:r>
      <w:r w:rsidR="007C41EF" w:rsidRPr="00EF5148">
        <w:rPr>
          <w:rFonts w:ascii="Verdana" w:hAnsi="Verdana" w:cs="Calibri"/>
          <w:sz w:val="15"/>
          <w:szCs w:val="15"/>
        </w:rPr>
        <w:t>oraz obsługą Jednostkowej Pożyczki</w:t>
      </w:r>
      <w:r w:rsidR="007C41EF" w:rsidRPr="00EF5148">
        <w:rPr>
          <w:rFonts w:ascii="Verdana" w:hAnsi="Verdana"/>
          <w:color w:val="000000" w:themeColor="text1"/>
          <w:sz w:val="15"/>
          <w:szCs w:val="15"/>
        </w:rPr>
        <w:t>.</w:t>
      </w:r>
      <w:r w:rsidR="00F0172E" w:rsidRPr="00EF5148">
        <w:rPr>
          <w:rFonts w:ascii="Verdana" w:hAnsi="Verdana"/>
          <w:color w:val="000000" w:themeColor="text1"/>
          <w:sz w:val="15"/>
          <w:szCs w:val="15"/>
        </w:rPr>
        <w:t xml:space="preserve"> </w:t>
      </w:r>
      <w:r w:rsidR="007C41EF" w:rsidRPr="00EF5148">
        <w:rPr>
          <w:rFonts w:ascii="Verdana" w:hAnsi="Verdana" w:cs="Calibri"/>
          <w:sz w:val="15"/>
          <w:szCs w:val="15"/>
        </w:rPr>
        <w:t xml:space="preserve">Powyższe nie dotyczy opłat związanych z ewentualnymi czynnościami windykacyjnymi podejmowanymi przez </w:t>
      </w:r>
      <w:r>
        <w:rPr>
          <w:rFonts w:ascii="Verdana" w:hAnsi="Verdana" w:cs="Calibri"/>
          <w:sz w:val="15"/>
          <w:szCs w:val="15"/>
        </w:rPr>
        <w:t>Pośrednika Finansowego</w:t>
      </w:r>
      <w:r w:rsidR="007C41EF" w:rsidRPr="00EF5148">
        <w:rPr>
          <w:rFonts w:ascii="Verdana" w:hAnsi="Verdana" w:cs="Calibri"/>
          <w:sz w:val="15"/>
          <w:szCs w:val="15"/>
        </w:rPr>
        <w:t xml:space="preserve"> oraz dotyczącymi ustanowienia i zwolnienia zabezpieczenia.</w:t>
      </w:r>
    </w:p>
    <w:p w14:paraId="275F6354" w14:textId="77777777" w:rsidR="00AF0EEF" w:rsidRDefault="00AF0EEF" w:rsidP="005E133C">
      <w:pPr>
        <w:spacing w:line="240" w:lineRule="auto"/>
        <w:jc w:val="both"/>
        <w:rPr>
          <w:rFonts w:ascii="Verdana" w:hAnsi="Verdana"/>
          <w:sz w:val="15"/>
          <w:szCs w:val="15"/>
        </w:rPr>
      </w:pPr>
    </w:p>
    <w:p w14:paraId="77CEAA53" w14:textId="77777777" w:rsidR="00B92C5C" w:rsidRDefault="00B92C5C" w:rsidP="005E133C">
      <w:pPr>
        <w:spacing w:line="240" w:lineRule="auto"/>
        <w:jc w:val="both"/>
        <w:rPr>
          <w:rFonts w:ascii="Verdana" w:hAnsi="Verdana"/>
          <w:sz w:val="15"/>
          <w:szCs w:val="15"/>
        </w:rPr>
      </w:pPr>
    </w:p>
    <w:p w14:paraId="10ED8751" w14:textId="77777777" w:rsidR="005B272F" w:rsidRDefault="005B272F" w:rsidP="005E133C">
      <w:pPr>
        <w:spacing w:line="240" w:lineRule="auto"/>
        <w:jc w:val="both"/>
        <w:rPr>
          <w:rFonts w:ascii="Verdana" w:hAnsi="Verdana"/>
          <w:sz w:val="15"/>
          <w:szCs w:val="15"/>
        </w:rPr>
      </w:pPr>
    </w:p>
    <w:p w14:paraId="0C99FC7B" w14:textId="77777777" w:rsidR="00891E53" w:rsidRDefault="00891E53" w:rsidP="005E133C">
      <w:pPr>
        <w:spacing w:line="240" w:lineRule="auto"/>
        <w:jc w:val="both"/>
        <w:rPr>
          <w:rFonts w:ascii="Verdana" w:hAnsi="Verdana"/>
          <w:sz w:val="15"/>
          <w:szCs w:val="15"/>
        </w:rPr>
      </w:pPr>
    </w:p>
    <w:p w14:paraId="05BB2EB8" w14:textId="77777777" w:rsidR="005B272F" w:rsidRDefault="005B272F" w:rsidP="005E133C">
      <w:pPr>
        <w:spacing w:line="240" w:lineRule="auto"/>
        <w:jc w:val="both"/>
        <w:rPr>
          <w:rFonts w:ascii="Verdana" w:hAnsi="Verdana"/>
          <w:sz w:val="15"/>
          <w:szCs w:val="15"/>
        </w:rPr>
      </w:pPr>
    </w:p>
    <w:p w14:paraId="362E1AEC" w14:textId="77777777" w:rsidR="00000E95" w:rsidRPr="00EF5148" w:rsidRDefault="00000E95" w:rsidP="005E133C">
      <w:pPr>
        <w:spacing w:line="240" w:lineRule="auto"/>
        <w:jc w:val="both"/>
        <w:rPr>
          <w:rFonts w:ascii="Verdana" w:hAnsi="Verdana"/>
          <w:sz w:val="15"/>
          <w:szCs w:val="15"/>
        </w:rPr>
      </w:pPr>
    </w:p>
    <w:p w14:paraId="4A6C5562" w14:textId="77777777" w:rsidR="00000E95" w:rsidRDefault="006B3E0A" w:rsidP="005E133C">
      <w:pPr>
        <w:spacing w:after="0" w:line="240" w:lineRule="auto"/>
        <w:jc w:val="both"/>
        <w:rPr>
          <w:rFonts w:ascii="Verdana" w:hAnsi="Verdana"/>
          <w:sz w:val="15"/>
          <w:szCs w:val="15"/>
        </w:rPr>
      </w:pPr>
      <w:r w:rsidRPr="00EF5148">
        <w:rPr>
          <w:rFonts w:ascii="Verdana" w:hAnsi="Verdana"/>
          <w:sz w:val="15"/>
          <w:szCs w:val="15"/>
        </w:rPr>
        <w:t>……………………………………………………………………………………</w:t>
      </w:r>
    </w:p>
    <w:p w14:paraId="6A7652BF" w14:textId="021F3EAF" w:rsidR="006B3E0A" w:rsidRPr="005B272F" w:rsidRDefault="005B272F" w:rsidP="005E133C">
      <w:pPr>
        <w:spacing w:after="0" w:line="240" w:lineRule="auto"/>
        <w:jc w:val="both"/>
        <w:rPr>
          <w:rFonts w:ascii="Verdana" w:hAnsi="Verdana"/>
          <w:sz w:val="12"/>
          <w:szCs w:val="12"/>
        </w:rPr>
      </w:pPr>
      <w:r>
        <w:rPr>
          <w:rFonts w:ascii="Verdana" w:hAnsi="Verdana"/>
          <w:sz w:val="15"/>
          <w:szCs w:val="15"/>
        </w:rPr>
        <w:t xml:space="preserve">    </w:t>
      </w:r>
      <w:r w:rsidR="006B3E0A" w:rsidRPr="00EF5148">
        <w:rPr>
          <w:rFonts w:ascii="Verdana" w:hAnsi="Verdana"/>
          <w:sz w:val="15"/>
          <w:szCs w:val="15"/>
        </w:rPr>
        <w:t xml:space="preserve"> </w:t>
      </w:r>
      <w:r w:rsidR="00000E95">
        <w:rPr>
          <w:rFonts w:ascii="Verdana" w:hAnsi="Verdana"/>
          <w:sz w:val="15"/>
          <w:szCs w:val="15"/>
        </w:rPr>
        <w:t xml:space="preserve">  </w:t>
      </w:r>
      <w:r w:rsidR="006B3E0A" w:rsidRPr="005B272F">
        <w:rPr>
          <w:rFonts w:ascii="Verdana" w:hAnsi="Verdana"/>
          <w:sz w:val="12"/>
          <w:szCs w:val="12"/>
        </w:rPr>
        <w:t>(pieczątka firmowa i podpis osoby/podpisy osób</w:t>
      </w:r>
    </w:p>
    <w:p w14:paraId="002AE8B7" w14:textId="03B46A36" w:rsidR="006B3E0A" w:rsidRPr="005B272F" w:rsidRDefault="00000E95" w:rsidP="005E133C">
      <w:pPr>
        <w:spacing w:line="240" w:lineRule="auto"/>
        <w:jc w:val="both"/>
        <w:rPr>
          <w:rFonts w:ascii="Verdana" w:hAnsi="Verdana"/>
          <w:sz w:val="12"/>
          <w:szCs w:val="12"/>
        </w:rPr>
      </w:pPr>
      <w:r w:rsidRPr="005B272F">
        <w:rPr>
          <w:rFonts w:ascii="Verdana" w:hAnsi="Verdana"/>
          <w:sz w:val="12"/>
          <w:szCs w:val="12"/>
        </w:rPr>
        <w:t xml:space="preserve">   </w:t>
      </w:r>
      <w:r w:rsidR="006B3E0A" w:rsidRPr="005B272F">
        <w:rPr>
          <w:rFonts w:ascii="Verdana" w:hAnsi="Verdana"/>
          <w:sz w:val="12"/>
          <w:szCs w:val="12"/>
        </w:rPr>
        <w:t xml:space="preserve"> </w:t>
      </w:r>
      <w:r w:rsidR="005B272F">
        <w:rPr>
          <w:rFonts w:ascii="Verdana" w:hAnsi="Verdana"/>
          <w:sz w:val="12"/>
          <w:szCs w:val="12"/>
        </w:rPr>
        <w:t xml:space="preserve">       </w:t>
      </w:r>
      <w:r w:rsidR="006B3E0A" w:rsidRPr="005B272F">
        <w:rPr>
          <w:rFonts w:ascii="Verdana" w:hAnsi="Verdana"/>
          <w:sz w:val="12"/>
          <w:szCs w:val="12"/>
        </w:rPr>
        <w:t>działającej/działających w imieniu FUNDUSZU)</w:t>
      </w:r>
    </w:p>
    <w:p w14:paraId="2F2EDA93" w14:textId="338415DE" w:rsidR="00000E95" w:rsidRDefault="00000E95" w:rsidP="005E133C">
      <w:pPr>
        <w:spacing w:after="0" w:line="240" w:lineRule="auto"/>
        <w:jc w:val="both"/>
        <w:rPr>
          <w:rFonts w:ascii="Verdana" w:hAnsi="Verdana"/>
          <w:sz w:val="15"/>
          <w:szCs w:val="15"/>
        </w:rPr>
      </w:pPr>
    </w:p>
    <w:p w14:paraId="6D47AC74" w14:textId="3493D30E" w:rsidR="00000E95" w:rsidRDefault="00000E95" w:rsidP="005E133C">
      <w:pPr>
        <w:spacing w:after="0" w:line="240" w:lineRule="auto"/>
        <w:jc w:val="both"/>
        <w:rPr>
          <w:rFonts w:ascii="Verdana" w:hAnsi="Verdana"/>
          <w:sz w:val="15"/>
          <w:szCs w:val="15"/>
        </w:rPr>
      </w:pPr>
    </w:p>
    <w:p w14:paraId="4E693966" w14:textId="77777777" w:rsidR="00B92C5C" w:rsidRPr="005B272F" w:rsidRDefault="00B92C5C" w:rsidP="005E133C">
      <w:pPr>
        <w:spacing w:after="0" w:line="240" w:lineRule="auto"/>
        <w:jc w:val="both"/>
        <w:rPr>
          <w:rFonts w:ascii="Verdana" w:hAnsi="Verdana"/>
          <w:sz w:val="2"/>
          <w:szCs w:val="2"/>
        </w:rPr>
      </w:pPr>
    </w:p>
    <w:p w14:paraId="3668523C" w14:textId="77777777" w:rsidR="00EA1D2B" w:rsidRDefault="00EA1D2B" w:rsidP="005E133C">
      <w:pPr>
        <w:spacing w:after="0" w:line="240" w:lineRule="auto"/>
        <w:jc w:val="both"/>
        <w:rPr>
          <w:rFonts w:ascii="Verdana" w:hAnsi="Verdana"/>
          <w:sz w:val="15"/>
          <w:szCs w:val="15"/>
        </w:rPr>
      </w:pPr>
    </w:p>
    <w:p w14:paraId="4378CE95" w14:textId="77777777" w:rsidR="00891E53" w:rsidRDefault="00891E53" w:rsidP="005E133C">
      <w:pPr>
        <w:spacing w:after="0" w:line="240" w:lineRule="auto"/>
        <w:jc w:val="both"/>
        <w:rPr>
          <w:rFonts w:ascii="Verdana" w:hAnsi="Verdana"/>
          <w:sz w:val="15"/>
          <w:szCs w:val="15"/>
        </w:rPr>
      </w:pPr>
    </w:p>
    <w:p w14:paraId="5B279E6A" w14:textId="77777777" w:rsidR="00EA1D2B" w:rsidRPr="00D227F5" w:rsidRDefault="00EA1D2B" w:rsidP="005E133C">
      <w:pPr>
        <w:spacing w:after="0" w:line="240" w:lineRule="auto"/>
        <w:jc w:val="both"/>
        <w:rPr>
          <w:rFonts w:ascii="Verdana" w:hAnsi="Verdana"/>
          <w:sz w:val="20"/>
          <w:szCs w:val="20"/>
        </w:rPr>
      </w:pPr>
      <w:bookmarkStart w:id="3" w:name="_GoBack"/>
      <w:bookmarkEnd w:id="3"/>
    </w:p>
    <w:p w14:paraId="2554679C" w14:textId="77777777" w:rsidR="00CB24FA" w:rsidRDefault="00CB24FA" w:rsidP="005E133C">
      <w:pPr>
        <w:spacing w:after="0" w:line="240" w:lineRule="auto"/>
        <w:jc w:val="both"/>
        <w:rPr>
          <w:rFonts w:ascii="Verdana" w:hAnsi="Verdana"/>
          <w:sz w:val="15"/>
          <w:szCs w:val="15"/>
        </w:rPr>
      </w:pPr>
    </w:p>
    <w:p w14:paraId="24CC049E" w14:textId="77777777" w:rsidR="00000E95" w:rsidRDefault="00000E95" w:rsidP="005E133C">
      <w:pPr>
        <w:spacing w:after="0" w:line="240" w:lineRule="auto"/>
        <w:jc w:val="both"/>
        <w:rPr>
          <w:rFonts w:ascii="Verdana" w:hAnsi="Verdana"/>
          <w:sz w:val="15"/>
          <w:szCs w:val="15"/>
        </w:rPr>
      </w:pPr>
    </w:p>
    <w:p w14:paraId="5ED94F40" w14:textId="77777777" w:rsidR="00000E95" w:rsidRDefault="00000E95" w:rsidP="005E133C">
      <w:pPr>
        <w:spacing w:after="0" w:line="240" w:lineRule="auto"/>
        <w:jc w:val="both"/>
        <w:rPr>
          <w:rFonts w:ascii="Verdana" w:hAnsi="Verdana"/>
          <w:sz w:val="15"/>
          <w:szCs w:val="15"/>
        </w:rPr>
      </w:pPr>
    </w:p>
    <w:p w14:paraId="092E5EAB" w14:textId="3B5B5AA8" w:rsidR="006B3E0A" w:rsidRPr="00EF5148" w:rsidRDefault="006B3E0A" w:rsidP="005E133C">
      <w:pPr>
        <w:spacing w:after="0" w:line="240" w:lineRule="auto"/>
        <w:jc w:val="both"/>
        <w:rPr>
          <w:rFonts w:ascii="Verdana" w:hAnsi="Verdana"/>
          <w:sz w:val="15"/>
          <w:szCs w:val="15"/>
        </w:rPr>
      </w:pPr>
      <w:r w:rsidRPr="00EF5148">
        <w:rPr>
          <w:rFonts w:ascii="Verdana" w:hAnsi="Verdana"/>
          <w:sz w:val="15"/>
          <w:szCs w:val="15"/>
        </w:rPr>
        <w:t xml:space="preserve">Oświadczam, iż zapoznałem się z treścią niniejszego dokumentu:      </w:t>
      </w:r>
      <w:r w:rsidR="005B272F">
        <w:rPr>
          <w:rFonts w:ascii="Verdana" w:hAnsi="Verdana"/>
          <w:sz w:val="15"/>
          <w:szCs w:val="15"/>
        </w:rPr>
        <w:t xml:space="preserve">  </w:t>
      </w:r>
      <w:r w:rsidR="00000E95">
        <w:rPr>
          <w:rFonts w:ascii="Verdana" w:hAnsi="Verdana"/>
          <w:sz w:val="15"/>
          <w:szCs w:val="15"/>
        </w:rPr>
        <w:t>………………………</w:t>
      </w:r>
      <w:r w:rsidRPr="00EF5148">
        <w:rPr>
          <w:rFonts w:ascii="Verdana" w:hAnsi="Verdana"/>
          <w:sz w:val="15"/>
          <w:szCs w:val="15"/>
        </w:rPr>
        <w:t xml:space="preserve">………………………………………………………          </w:t>
      </w:r>
    </w:p>
    <w:p w14:paraId="52F283B6" w14:textId="3EA11B34" w:rsidR="006B3E0A" w:rsidRPr="005B272F" w:rsidRDefault="006B3E0A" w:rsidP="00237973">
      <w:pPr>
        <w:spacing w:after="0" w:line="240" w:lineRule="auto"/>
        <w:ind w:firstLine="5812"/>
        <w:rPr>
          <w:rFonts w:ascii="Verdana" w:hAnsi="Verdana"/>
          <w:sz w:val="12"/>
          <w:szCs w:val="12"/>
        </w:rPr>
      </w:pPr>
      <w:r w:rsidRPr="005B272F">
        <w:rPr>
          <w:rFonts w:ascii="Verdana" w:hAnsi="Verdana"/>
          <w:sz w:val="12"/>
          <w:szCs w:val="12"/>
        </w:rPr>
        <w:t>(pieczątka firmowa i podpis osoby/podpisy osób</w:t>
      </w:r>
    </w:p>
    <w:p w14:paraId="4F9D07D3" w14:textId="6AA6D67A" w:rsidR="006D5CC4" w:rsidRPr="005B272F" w:rsidRDefault="006B3E0A" w:rsidP="00237973">
      <w:pPr>
        <w:spacing w:after="0" w:line="240" w:lineRule="auto"/>
        <w:ind w:firstLine="5812"/>
        <w:rPr>
          <w:rFonts w:ascii="Verdana" w:hAnsi="Verdana"/>
          <w:sz w:val="12"/>
          <w:szCs w:val="12"/>
        </w:rPr>
      </w:pPr>
      <w:r w:rsidRPr="005B272F">
        <w:rPr>
          <w:rFonts w:ascii="Verdana" w:hAnsi="Verdana"/>
          <w:sz w:val="12"/>
          <w:szCs w:val="12"/>
        </w:rPr>
        <w:t>działającej/działających</w:t>
      </w:r>
      <w:r w:rsidR="00000E95" w:rsidRPr="005B272F">
        <w:rPr>
          <w:rFonts w:ascii="Verdana" w:hAnsi="Verdana"/>
          <w:sz w:val="12"/>
          <w:szCs w:val="12"/>
        </w:rPr>
        <w:t xml:space="preserve"> </w:t>
      </w:r>
      <w:r w:rsidRPr="005B272F">
        <w:rPr>
          <w:rFonts w:ascii="Verdana" w:hAnsi="Verdana"/>
          <w:sz w:val="12"/>
          <w:szCs w:val="12"/>
        </w:rPr>
        <w:t>w</w:t>
      </w:r>
      <w:r w:rsidR="00000E95" w:rsidRPr="005B272F">
        <w:rPr>
          <w:rFonts w:ascii="Verdana" w:hAnsi="Verdana"/>
          <w:sz w:val="12"/>
          <w:szCs w:val="12"/>
        </w:rPr>
        <w:t xml:space="preserve"> </w:t>
      </w:r>
      <w:r w:rsidRPr="005B272F">
        <w:rPr>
          <w:rFonts w:ascii="Verdana" w:hAnsi="Verdana"/>
          <w:sz w:val="12"/>
          <w:szCs w:val="12"/>
        </w:rPr>
        <w:t>imieniu Pożyczkobiorcy)</w:t>
      </w:r>
    </w:p>
    <w:sectPr w:rsidR="006D5CC4" w:rsidRPr="005B272F" w:rsidSect="006D5C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64161" w14:textId="77777777" w:rsidR="000416E1" w:rsidRDefault="000416E1" w:rsidP="00956825">
      <w:pPr>
        <w:spacing w:after="0" w:line="240" w:lineRule="auto"/>
      </w:pPr>
      <w:r>
        <w:separator/>
      </w:r>
    </w:p>
  </w:endnote>
  <w:endnote w:type="continuationSeparator" w:id="0">
    <w:p w14:paraId="1456A14B" w14:textId="77777777" w:rsidR="000416E1" w:rsidRDefault="000416E1" w:rsidP="0095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B6D70" w14:textId="62D03299" w:rsidR="00956825" w:rsidRDefault="00956825">
    <w:pPr>
      <w:pStyle w:val="Stopka"/>
    </w:pPr>
  </w:p>
  <w:p w14:paraId="5F5237DA" w14:textId="77777777" w:rsidR="00956825" w:rsidRDefault="009568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9AF6" w14:textId="77777777" w:rsidR="000416E1" w:rsidRDefault="000416E1" w:rsidP="00956825">
      <w:pPr>
        <w:spacing w:after="0" w:line="240" w:lineRule="auto"/>
      </w:pPr>
      <w:r>
        <w:separator/>
      </w:r>
    </w:p>
  </w:footnote>
  <w:footnote w:type="continuationSeparator" w:id="0">
    <w:p w14:paraId="49B3C072" w14:textId="77777777" w:rsidR="000416E1" w:rsidRDefault="000416E1" w:rsidP="0095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9B4C" w14:textId="77777777" w:rsidR="00956825" w:rsidRDefault="00956825">
    <w:pPr>
      <w:pStyle w:val="Nagwek"/>
    </w:pPr>
    <w:r>
      <w:rPr>
        <w:noProof/>
        <w:lang w:eastAsia="pl-PL"/>
      </w:rPr>
      <w:drawing>
        <wp:anchor distT="0" distB="0" distL="114300" distR="114300" simplePos="0" relativeHeight="251658240" behindDoc="0" locked="0" layoutInCell="1" allowOverlap="1" wp14:anchorId="33F3834D" wp14:editId="2000FFD6">
          <wp:simplePos x="0" y="0"/>
          <wp:positionH relativeFrom="margin">
            <wp:align>center</wp:align>
          </wp:positionH>
          <wp:positionV relativeFrom="paragraph">
            <wp:posOffset>-407670</wp:posOffset>
          </wp:positionV>
          <wp:extent cx="7263765" cy="861060"/>
          <wp:effectExtent l="19050" t="0" r="0" b="0"/>
          <wp:wrapSquare wrapText="bothSides"/>
          <wp:docPr id="1" name="Obraz 0" descr="naglowek cb warp wfr konsorcj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cb warp wfr konsorcjum.jpg"/>
                  <pic:cNvPicPr/>
                </pic:nvPicPr>
                <pic:blipFill>
                  <a:blip r:embed="rId1"/>
                  <a:stretch>
                    <a:fillRect/>
                  </a:stretch>
                </pic:blipFill>
                <pic:spPr>
                  <a:xfrm>
                    <a:off x="0" y="0"/>
                    <a:ext cx="7263765" cy="861060"/>
                  </a:xfrm>
                  <a:prstGeom prst="rect">
                    <a:avLst/>
                  </a:prstGeom>
                </pic:spPr>
              </pic:pic>
            </a:graphicData>
          </a:graphic>
        </wp:anchor>
      </w:drawing>
    </w:r>
  </w:p>
  <w:p w14:paraId="7F2D7704" w14:textId="77777777" w:rsidR="00956825" w:rsidRDefault="009568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F45"/>
    <w:multiLevelType w:val="hybridMultilevel"/>
    <w:tmpl w:val="4CC0AF8A"/>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
    <w:nsid w:val="034E7FCE"/>
    <w:multiLevelType w:val="hybridMultilevel"/>
    <w:tmpl w:val="FC0AC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4D77A1"/>
    <w:multiLevelType w:val="hybridMultilevel"/>
    <w:tmpl w:val="2D184DA4"/>
    <w:lvl w:ilvl="0" w:tplc="0C5EBE40">
      <w:start w:val="1"/>
      <w:numFmt w:val="decimal"/>
      <w:lvlText w:val="%1."/>
      <w:lvlJc w:val="left"/>
      <w:pPr>
        <w:ind w:left="1004" w:hanging="360"/>
      </w:pPr>
      <w:rPr>
        <w:rFonts w:ascii="Verdana" w:eastAsiaTheme="minorEastAsia" w:hAnsi="Verdana" w:cstheme="minorBidi"/>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3052D0F"/>
    <w:multiLevelType w:val="hybridMultilevel"/>
    <w:tmpl w:val="43B4A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559E2"/>
    <w:multiLevelType w:val="hybridMultilevel"/>
    <w:tmpl w:val="9000B21A"/>
    <w:lvl w:ilvl="0" w:tplc="0A5608CE">
      <w:start w:val="1"/>
      <w:numFmt w:val="decimal"/>
      <w:lvlText w:val="%1)"/>
      <w:lvlJc w:val="left"/>
      <w:pPr>
        <w:ind w:left="720" w:hanging="360"/>
      </w:pPr>
      <w:rPr>
        <w:rFonts w:ascii="Verdana" w:eastAsiaTheme="minorHAns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5084DBA"/>
    <w:multiLevelType w:val="hybridMultilevel"/>
    <w:tmpl w:val="00D66436"/>
    <w:lvl w:ilvl="0" w:tplc="EA4889C6">
      <w:start w:val="1"/>
      <w:numFmt w:val="decimal"/>
      <w:lvlText w:val="%1)"/>
      <w:lvlJc w:val="left"/>
      <w:pPr>
        <w:ind w:left="720" w:hanging="360"/>
      </w:pPr>
      <w:rPr>
        <w:rFonts w:ascii="Verdana" w:eastAsiaTheme="minorEastAsia" w:hAnsi="Verdan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E202C"/>
    <w:multiLevelType w:val="hybridMultilevel"/>
    <w:tmpl w:val="14D80650"/>
    <w:lvl w:ilvl="0" w:tplc="E51A9D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42685B03"/>
    <w:multiLevelType w:val="hybridMultilevel"/>
    <w:tmpl w:val="83CCAE70"/>
    <w:lvl w:ilvl="0" w:tplc="C88AE936">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E830977"/>
    <w:multiLevelType w:val="hybridMultilevel"/>
    <w:tmpl w:val="F4B69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B814AE"/>
    <w:multiLevelType w:val="hybridMultilevel"/>
    <w:tmpl w:val="86EC9E8A"/>
    <w:lvl w:ilvl="0" w:tplc="E1424834">
      <w:start w:val="1"/>
      <w:numFmt w:val="decimal"/>
      <w:lvlText w:val="%1."/>
      <w:lvlJc w:val="left"/>
      <w:pPr>
        <w:ind w:left="319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5"/>
    <w:rsid w:val="00000E95"/>
    <w:rsid w:val="000416E1"/>
    <w:rsid w:val="000A333C"/>
    <w:rsid w:val="000E3330"/>
    <w:rsid w:val="00175C0F"/>
    <w:rsid w:val="00237973"/>
    <w:rsid w:val="003302B1"/>
    <w:rsid w:val="004B5654"/>
    <w:rsid w:val="005234B9"/>
    <w:rsid w:val="00566BC3"/>
    <w:rsid w:val="005B272F"/>
    <w:rsid w:val="005E133C"/>
    <w:rsid w:val="006655A8"/>
    <w:rsid w:val="006B3E0A"/>
    <w:rsid w:val="006D5CC4"/>
    <w:rsid w:val="007C41EF"/>
    <w:rsid w:val="007F54DD"/>
    <w:rsid w:val="007F775C"/>
    <w:rsid w:val="00891E53"/>
    <w:rsid w:val="00956825"/>
    <w:rsid w:val="00A1624A"/>
    <w:rsid w:val="00A40CAC"/>
    <w:rsid w:val="00A723B6"/>
    <w:rsid w:val="00AF0EEF"/>
    <w:rsid w:val="00B92C5C"/>
    <w:rsid w:val="00BB4E3E"/>
    <w:rsid w:val="00CB24FA"/>
    <w:rsid w:val="00CE7BCF"/>
    <w:rsid w:val="00D227F5"/>
    <w:rsid w:val="00E20293"/>
    <w:rsid w:val="00E9148F"/>
    <w:rsid w:val="00EA1D2B"/>
    <w:rsid w:val="00EF5148"/>
    <w:rsid w:val="00F0172E"/>
    <w:rsid w:val="00FB3DA5"/>
    <w:rsid w:val="00FE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2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C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6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825"/>
  </w:style>
  <w:style w:type="paragraph" w:styleId="Stopka">
    <w:name w:val="footer"/>
    <w:basedOn w:val="Normalny"/>
    <w:link w:val="StopkaZnak"/>
    <w:uiPriority w:val="99"/>
    <w:unhideWhenUsed/>
    <w:rsid w:val="00956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825"/>
  </w:style>
  <w:style w:type="paragraph" w:styleId="Tekstdymka">
    <w:name w:val="Balloon Text"/>
    <w:basedOn w:val="Normalny"/>
    <w:link w:val="TekstdymkaZnak"/>
    <w:uiPriority w:val="99"/>
    <w:semiHidden/>
    <w:unhideWhenUsed/>
    <w:rsid w:val="009568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825"/>
    <w:rPr>
      <w:rFonts w:ascii="Tahoma" w:hAnsi="Tahoma" w:cs="Tahoma"/>
      <w:sz w:val="16"/>
      <w:szCs w:val="16"/>
    </w:rPr>
  </w:style>
  <w:style w:type="character" w:styleId="Hipercze">
    <w:name w:val="Hyperlink"/>
    <w:uiPriority w:val="99"/>
    <w:semiHidden/>
    <w:unhideWhenUsed/>
    <w:rsid w:val="007C41EF"/>
    <w:rPr>
      <w:color w:val="0000FF"/>
      <w:u w:val="single"/>
    </w:rPr>
  </w:style>
  <w:style w:type="paragraph" w:styleId="Akapitzlist">
    <w:name w:val="List Paragraph"/>
    <w:basedOn w:val="Normalny"/>
    <w:link w:val="AkapitzlistZnak"/>
    <w:uiPriority w:val="34"/>
    <w:qFormat/>
    <w:rsid w:val="007C41EF"/>
    <w:pPr>
      <w:ind w:left="720"/>
      <w:contextualSpacing/>
    </w:pPr>
    <w:rPr>
      <w:rFonts w:eastAsiaTheme="minorEastAsia"/>
      <w:lang w:eastAsia="pl-PL"/>
    </w:rPr>
  </w:style>
  <w:style w:type="character" w:customStyle="1" w:styleId="AkapitzlistZnak">
    <w:name w:val="Akapit z listą Znak"/>
    <w:link w:val="Akapitzlist"/>
    <w:uiPriority w:val="34"/>
    <w:locked/>
    <w:rsid w:val="007C41EF"/>
    <w:rPr>
      <w:rFonts w:eastAsiaTheme="minorEastAsia"/>
      <w:lang w:eastAsia="pl-PL"/>
    </w:rPr>
  </w:style>
  <w:style w:type="character" w:styleId="Odwoaniedokomentarza">
    <w:name w:val="annotation reference"/>
    <w:basedOn w:val="Domylnaczcionkaakapitu"/>
    <w:uiPriority w:val="99"/>
    <w:semiHidden/>
    <w:unhideWhenUsed/>
    <w:rsid w:val="00CE7BCF"/>
    <w:rPr>
      <w:sz w:val="16"/>
      <w:szCs w:val="16"/>
    </w:rPr>
  </w:style>
  <w:style w:type="paragraph" w:styleId="Tekstkomentarza">
    <w:name w:val="annotation text"/>
    <w:basedOn w:val="Normalny"/>
    <w:link w:val="TekstkomentarzaZnak"/>
    <w:uiPriority w:val="99"/>
    <w:unhideWhenUsed/>
    <w:rsid w:val="00CE7BCF"/>
    <w:pPr>
      <w:spacing w:line="240" w:lineRule="auto"/>
    </w:pPr>
    <w:rPr>
      <w:sz w:val="20"/>
      <w:szCs w:val="20"/>
    </w:rPr>
  </w:style>
  <w:style w:type="character" w:customStyle="1" w:styleId="TekstkomentarzaZnak">
    <w:name w:val="Tekst komentarza Znak"/>
    <w:basedOn w:val="Domylnaczcionkaakapitu"/>
    <w:link w:val="Tekstkomentarza"/>
    <w:uiPriority w:val="99"/>
    <w:rsid w:val="00CE7BCF"/>
    <w:rPr>
      <w:sz w:val="20"/>
      <w:szCs w:val="20"/>
    </w:rPr>
  </w:style>
  <w:style w:type="paragraph" w:styleId="Tematkomentarza">
    <w:name w:val="annotation subject"/>
    <w:basedOn w:val="Tekstkomentarza"/>
    <w:next w:val="Tekstkomentarza"/>
    <w:link w:val="TematkomentarzaZnak"/>
    <w:uiPriority w:val="99"/>
    <w:semiHidden/>
    <w:unhideWhenUsed/>
    <w:rsid w:val="00CE7BCF"/>
    <w:rPr>
      <w:b/>
      <w:bCs/>
    </w:rPr>
  </w:style>
  <w:style w:type="character" w:customStyle="1" w:styleId="TematkomentarzaZnak">
    <w:name w:val="Temat komentarza Znak"/>
    <w:basedOn w:val="TekstkomentarzaZnak"/>
    <w:link w:val="Tematkomentarza"/>
    <w:uiPriority w:val="99"/>
    <w:semiHidden/>
    <w:rsid w:val="00CE7B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C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6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825"/>
  </w:style>
  <w:style w:type="paragraph" w:styleId="Stopka">
    <w:name w:val="footer"/>
    <w:basedOn w:val="Normalny"/>
    <w:link w:val="StopkaZnak"/>
    <w:uiPriority w:val="99"/>
    <w:unhideWhenUsed/>
    <w:rsid w:val="00956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825"/>
  </w:style>
  <w:style w:type="paragraph" w:styleId="Tekstdymka">
    <w:name w:val="Balloon Text"/>
    <w:basedOn w:val="Normalny"/>
    <w:link w:val="TekstdymkaZnak"/>
    <w:uiPriority w:val="99"/>
    <w:semiHidden/>
    <w:unhideWhenUsed/>
    <w:rsid w:val="009568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825"/>
    <w:rPr>
      <w:rFonts w:ascii="Tahoma" w:hAnsi="Tahoma" w:cs="Tahoma"/>
      <w:sz w:val="16"/>
      <w:szCs w:val="16"/>
    </w:rPr>
  </w:style>
  <w:style w:type="character" w:styleId="Hipercze">
    <w:name w:val="Hyperlink"/>
    <w:uiPriority w:val="99"/>
    <w:semiHidden/>
    <w:unhideWhenUsed/>
    <w:rsid w:val="007C41EF"/>
    <w:rPr>
      <w:color w:val="0000FF"/>
      <w:u w:val="single"/>
    </w:rPr>
  </w:style>
  <w:style w:type="paragraph" w:styleId="Akapitzlist">
    <w:name w:val="List Paragraph"/>
    <w:basedOn w:val="Normalny"/>
    <w:link w:val="AkapitzlistZnak"/>
    <w:uiPriority w:val="34"/>
    <w:qFormat/>
    <w:rsid w:val="007C41EF"/>
    <w:pPr>
      <w:ind w:left="720"/>
      <w:contextualSpacing/>
    </w:pPr>
    <w:rPr>
      <w:rFonts w:eastAsiaTheme="minorEastAsia"/>
      <w:lang w:eastAsia="pl-PL"/>
    </w:rPr>
  </w:style>
  <w:style w:type="character" w:customStyle="1" w:styleId="AkapitzlistZnak">
    <w:name w:val="Akapit z listą Znak"/>
    <w:link w:val="Akapitzlist"/>
    <w:uiPriority w:val="34"/>
    <w:locked/>
    <w:rsid w:val="007C41EF"/>
    <w:rPr>
      <w:rFonts w:eastAsiaTheme="minorEastAsia"/>
      <w:lang w:eastAsia="pl-PL"/>
    </w:rPr>
  </w:style>
  <w:style w:type="character" w:styleId="Odwoaniedokomentarza">
    <w:name w:val="annotation reference"/>
    <w:basedOn w:val="Domylnaczcionkaakapitu"/>
    <w:uiPriority w:val="99"/>
    <w:semiHidden/>
    <w:unhideWhenUsed/>
    <w:rsid w:val="00CE7BCF"/>
    <w:rPr>
      <w:sz w:val="16"/>
      <w:szCs w:val="16"/>
    </w:rPr>
  </w:style>
  <w:style w:type="paragraph" w:styleId="Tekstkomentarza">
    <w:name w:val="annotation text"/>
    <w:basedOn w:val="Normalny"/>
    <w:link w:val="TekstkomentarzaZnak"/>
    <w:uiPriority w:val="99"/>
    <w:unhideWhenUsed/>
    <w:rsid w:val="00CE7BCF"/>
    <w:pPr>
      <w:spacing w:line="240" w:lineRule="auto"/>
    </w:pPr>
    <w:rPr>
      <w:sz w:val="20"/>
      <w:szCs w:val="20"/>
    </w:rPr>
  </w:style>
  <w:style w:type="character" w:customStyle="1" w:styleId="TekstkomentarzaZnak">
    <w:name w:val="Tekst komentarza Znak"/>
    <w:basedOn w:val="Domylnaczcionkaakapitu"/>
    <w:link w:val="Tekstkomentarza"/>
    <w:uiPriority w:val="99"/>
    <w:rsid w:val="00CE7BCF"/>
    <w:rPr>
      <w:sz w:val="20"/>
      <w:szCs w:val="20"/>
    </w:rPr>
  </w:style>
  <w:style w:type="paragraph" w:styleId="Tematkomentarza">
    <w:name w:val="annotation subject"/>
    <w:basedOn w:val="Tekstkomentarza"/>
    <w:next w:val="Tekstkomentarza"/>
    <w:link w:val="TematkomentarzaZnak"/>
    <w:uiPriority w:val="99"/>
    <w:semiHidden/>
    <w:unhideWhenUsed/>
    <w:rsid w:val="00CE7BCF"/>
    <w:rPr>
      <w:b/>
      <w:bCs/>
    </w:rPr>
  </w:style>
  <w:style w:type="character" w:customStyle="1" w:styleId="TematkomentarzaZnak">
    <w:name w:val="Temat komentarza Znak"/>
    <w:basedOn w:val="TekstkomentarzaZnak"/>
    <w:link w:val="Tematkomentarza"/>
    <w:uiPriority w:val="99"/>
    <w:semiHidden/>
    <w:rsid w:val="00CE7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1535</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mkurk</cp:lastModifiedBy>
  <cp:revision>3</cp:revision>
  <cp:lastPrinted>2020-05-09T16:50:00Z</cp:lastPrinted>
  <dcterms:created xsi:type="dcterms:W3CDTF">2020-05-20T10:07:00Z</dcterms:created>
  <dcterms:modified xsi:type="dcterms:W3CDTF">2021-03-11T19:31:00Z</dcterms:modified>
</cp:coreProperties>
</file>