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063B3E" w14:paraId="281EBEE2" w14:textId="77777777" w:rsidTr="00E57A1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1E88390" w14:textId="77777777" w:rsidR="00063B3E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 xml:space="preserve">Program </w:t>
            </w:r>
            <w:r>
              <w:rPr>
                <w:rFonts w:ascii="Arial" w:eastAsia="Calibri" w:hAnsi="Arial" w:cs="Arial"/>
                <w:b/>
              </w:rPr>
              <w:t>webinarium</w:t>
            </w:r>
          </w:p>
          <w:p w14:paraId="100C08AD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38B594C3" w14:textId="7BC0973D" w:rsidR="00063B3E" w:rsidRPr="00A226C1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226C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A226C1" w:rsidRPr="00A226C1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>Dotacje na start</w:t>
            </w:r>
            <w:r w:rsidRPr="00A226C1">
              <w:rPr>
                <w:rFonts w:ascii="Arial" w:hAnsi="Arial" w:cs="Arial"/>
                <w:b/>
                <w:bCs/>
                <w:iCs/>
                <w:color w:val="000000"/>
                <w:sz w:val="28"/>
                <w:szCs w:val="28"/>
              </w:rPr>
              <w:t xml:space="preserve"> dla osób 30 +”</w:t>
            </w:r>
          </w:p>
          <w:p w14:paraId="2918D45C" w14:textId="77777777" w:rsidR="00063B3E" w:rsidRPr="00FB4EC8" w:rsidRDefault="00063B3E" w:rsidP="00E57A1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389786E5" w14:textId="7FB27C3A" w:rsidR="00063B3E" w:rsidRPr="00657BCB" w:rsidRDefault="00A226C1" w:rsidP="00E57A12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31.08.2020 roku, godz. 11:00-12</w:t>
            </w:r>
            <w:r w:rsidR="00063B3E">
              <w:rPr>
                <w:rFonts w:ascii="Arial" w:eastAsia="Calibri" w:hAnsi="Arial" w:cs="Arial"/>
                <w:b/>
              </w:rPr>
              <w:t>:00</w:t>
            </w:r>
          </w:p>
        </w:tc>
      </w:tr>
      <w:tr w:rsidR="00063B3E" w14:paraId="5B418050" w14:textId="77777777" w:rsidTr="00E57A1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DA6B7" w14:textId="77777777" w:rsidR="00063B3E" w:rsidRPr="00657BCB" w:rsidRDefault="00063B3E" w:rsidP="00E57A12">
            <w:pPr>
              <w:rPr>
                <w:rFonts w:ascii="Calibri" w:eastAsia="Calibri" w:hAnsi="Calibri"/>
              </w:rPr>
            </w:pPr>
          </w:p>
        </w:tc>
      </w:tr>
      <w:tr w:rsidR="00063B3E" w14:paraId="01538B38" w14:textId="77777777" w:rsidTr="00E57A12">
        <w:trPr>
          <w:trHeight w:val="554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461FD" w14:textId="3D41DF0E" w:rsidR="00063B3E" w:rsidRPr="00FB4EC8" w:rsidRDefault="00A226C1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01A74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Przywitanie</w:t>
            </w:r>
            <w:r w:rsidRPr="00FB4EC8">
              <w:rPr>
                <w:rFonts w:ascii="Arial" w:hAnsi="Arial" w:cs="Arial"/>
                <w:sz w:val="20"/>
                <w:szCs w:val="20"/>
              </w:rPr>
              <w:t xml:space="preserve"> uczestników</w:t>
            </w:r>
          </w:p>
        </w:tc>
      </w:tr>
      <w:tr w:rsidR="00063B3E" w14:paraId="5AF1F607" w14:textId="77777777" w:rsidTr="00E57A12">
        <w:trPr>
          <w:trHeight w:val="1342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083DC" w14:textId="5410512F" w:rsidR="00063B3E" w:rsidRPr="00FB4EC8" w:rsidRDefault="00A226C1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:0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63B3E" w:rsidRPr="00FB4EC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F88AE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Dotacje:</w:t>
            </w:r>
          </w:p>
          <w:p w14:paraId="6C4B6708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Wielkopolski Regionalny Program Operacyjny</w:t>
            </w:r>
          </w:p>
          <w:p w14:paraId="23BC866F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Działanie 6.1 </w:t>
            </w:r>
          </w:p>
          <w:p w14:paraId="127E12CA" w14:textId="77777777" w:rsidR="00063B3E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Poddziałanie 6.3.1</w:t>
            </w:r>
          </w:p>
          <w:p w14:paraId="09A38748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61899BF6" w14:textId="77777777" w:rsidR="00063B3E" w:rsidRDefault="00063B3E" w:rsidP="00E57A12">
            <w:pPr>
              <w:pStyle w:val="Bezodstpw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Pożyczki:</w:t>
            </w:r>
          </w:p>
          <w:p w14:paraId="77311F27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14:paraId="328525DD" w14:textId="77777777" w:rsidR="00063B3E" w:rsidRDefault="00063B3E" w:rsidP="00E57A12">
            <w:pPr>
              <w:spacing w:line="36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14:paraId="390A4B27" w14:textId="77777777" w:rsidR="00063B3E" w:rsidRPr="00AE51F1" w:rsidRDefault="00063B3E" w:rsidP="00E57A12">
            <w:pPr>
              <w:pStyle w:val="Bezodstpw"/>
              <w:spacing w:line="360" w:lineRule="auto"/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JEREMIE2.</w:t>
            </w:r>
          </w:p>
        </w:tc>
      </w:tr>
      <w:tr w:rsidR="00063B3E" w14:paraId="3ACF7E3A" w14:textId="77777777" w:rsidTr="00E57A12">
        <w:trPr>
          <w:trHeight w:val="703"/>
        </w:trPr>
        <w:tc>
          <w:tcPr>
            <w:tcW w:w="1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842BD" w14:textId="5E5CDFD9" w:rsidR="00063B3E" w:rsidRPr="00FB4EC8" w:rsidRDefault="00A226C1" w:rsidP="00E57A12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</w:t>
            </w:r>
            <w:r w:rsidR="00063B3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F81F" w14:textId="77777777" w:rsidR="00063B3E" w:rsidRPr="00FB4EC8" w:rsidRDefault="00063B3E" w:rsidP="00E57A1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14:paraId="452A3D0E" w14:textId="77777777" w:rsidR="00063B3E" w:rsidRDefault="00063B3E" w:rsidP="00063B3E">
      <w:pPr>
        <w:rPr>
          <w:rFonts w:ascii="Arial" w:hAnsi="Arial" w:cs="Arial"/>
          <w:sz w:val="23"/>
          <w:szCs w:val="23"/>
        </w:rPr>
      </w:pPr>
    </w:p>
    <w:p w14:paraId="00750E98" w14:textId="77777777" w:rsidR="00063B3E" w:rsidRPr="00DD3454" w:rsidRDefault="00063B3E" w:rsidP="00063B3E">
      <w:pPr>
        <w:jc w:val="center"/>
      </w:pPr>
      <w:r>
        <w:rPr>
          <w:rFonts w:ascii="Arial" w:hAnsi="Arial" w:cs="Arial"/>
          <w:sz w:val="23"/>
          <w:szCs w:val="23"/>
        </w:rPr>
        <w:t>Po zakończonym webinarium zapraszamy do kontaktu z Punktem Informacyjnych FE.</w:t>
      </w:r>
    </w:p>
    <w:p w14:paraId="3828315D" w14:textId="4C52089B" w:rsidR="0067573F" w:rsidRPr="00063B3E" w:rsidRDefault="00FB76C2" w:rsidP="00063B3E">
      <w:r w:rsidRPr="00063B3E">
        <w:t xml:space="preserve"> </w:t>
      </w:r>
    </w:p>
    <w:sectPr w:rsidR="0067573F" w:rsidRPr="00063B3E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BB801" w14:textId="77777777" w:rsidR="00AD0AFB" w:rsidRDefault="00AD0AFB">
      <w:r>
        <w:separator/>
      </w:r>
    </w:p>
  </w:endnote>
  <w:endnote w:type="continuationSeparator" w:id="0">
    <w:p w14:paraId="38D390E3" w14:textId="77777777" w:rsidR="00AD0AFB" w:rsidRDefault="00A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A226C1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1C36" w14:textId="77777777" w:rsidR="00AD0AFB" w:rsidRDefault="00AD0AFB">
      <w:r>
        <w:separator/>
      </w:r>
    </w:p>
  </w:footnote>
  <w:footnote w:type="continuationSeparator" w:id="0">
    <w:p w14:paraId="7C469183" w14:textId="77777777" w:rsidR="00AD0AFB" w:rsidRDefault="00A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A226C1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C47AB"/>
    <w:multiLevelType w:val="hybridMultilevel"/>
    <w:tmpl w:val="6DBC51F0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63B3E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6C1"/>
    <w:rsid w:val="00A2285E"/>
    <w:rsid w:val="00A25489"/>
    <w:rsid w:val="00A5737C"/>
    <w:rsid w:val="00A81932"/>
    <w:rsid w:val="00A82CFC"/>
    <w:rsid w:val="00A8412A"/>
    <w:rsid w:val="00A91148"/>
    <w:rsid w:val="00AD0AFB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3</cp:revision>
  <cp:lastPrinted>2020-05-25T06:04:00Z</cp:lastPrinted>
  <dcterms:created xsi:type="dcterms:W3CDTF">2020-06-19T08:19:00Z</dcterms:created>
  <dcterms:modified xsi:type="dcterms:W3CDTF">2020-08-14T08:09:00Z</dcterms:modified>
</cp:coreProperties>
</file>